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258" w:rsidRDefault="00963258" w:rsidP="00963258">
      <w:pPr>
        <w:pStyle w:val="a3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№3 к Документации о закупке</w:t>
      </w:r>
    </w:p>
    <w:p w:rsidR="00963258" w:rsidRDefault="00963258" w:rsidP="00963258">
      <w:pPr>
        <w:pStyle w:val="a3"/>
        <w:spacing w:after="0" w:line="276" w:lineRule="auto"/>
        <w:ind w:firstLine="0"/>
        <w:jc w:val="center"/>
        <w:rPr>
          <w:i/>
        </w:rPr>
      </w:pPr>
    </w:p>
    <w:p w:rsidR="00963258" w:rsidRDefault="00963258" w:rsidP="00963258">
      <w:pPr>
        <w:pStyle w:val="a3"/>
        <w:spacing w:after="0" w:line="276" w:lineRule="auto"/>
        <w:ind w:firstLine="0"/>
        <w:jc w:val="right"/>
      </w:pPr>
    </w:p>
    <w:p w:rsidR="00963258" w:rsidRDefault="00963258" w:rsidP="00963258">
      <w:pPr>
        <w:pStyle w:val="a3"/>
        <w:spacing w:after="0" w:line="276" w:lineRule="auto"/>
        <w:ind w:firstLine="0"/>
        <w:jc w:val="right"/>
      </w:pPr>
    </w:p>
    <w:p w:rsidR="00963258" w:rsidRDefault="00963258" w:rsidP="00963258">
      <w:pPr>
        <w:pStyle w:val="a3"/>
        <w:spacing w:after="0" w:line="276" w:lineRule="auto"/>
        <w:ind w:firstLine="0"/>
        <w:jc w:val="center"/>
        <w:rPr>
          <w:b/>
        </w:rPr>
      </w:pPr>
      <w:r>
        <w:rPr>
          <w:b/>
        </w:rPr>
        <w:t>Критерии отбора и оценки заявок Участников закупки</w:t>
      </w:r>
    </w:p>
    <w:p w:rsidR="00963258" w:rsidRDefault="00963258" w:rsidP="00963258">
      <w:pPr>
        <w:pStyle w:val="a3"/>
        <w:spacing w:after="0" w:line="276" w:lineRule="auto"/>
        <w:ind w:firstLine="0"/>
        <w:jc w:val="right"/>
      </w:pPr>
    </w:p>
    <w:p w:rsidR="00963258" w:rsidRDefault="00963258" w:rsidP="00963258">
      <w:pPr>
        <w:pStyle w:val="a3"/>
        <w:numPr>
          <w:ilvl w:val="0"/>
          <w:numId w:val="7"/>
        </w:numPr>
        <w:spacing w:after="0" w:line="276" w:lineRule="auto"/>
        <w:rPr>
          <w:b/>
        </w:rPr>
      </w:pPr>
      <w:r>
        <w:rPr>
          <w:b/>
        </w:rPr>
        <w:t>Критерии отбора</w:t>
      </w:r>
    </w:p>
    <w:p w:rsidR="00963258" w:rsidRDefault="00963258" w:rsidP="00963258">
      <w:pPr>
        <w:ind w:left="-993"/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433"/>
        <w:gridCol w:w="6095"/>
      </w:tblGrid>
      <w:tr w:rsidR="006F24C4" w:rsidRPr="006F24C4" w:rsidTr="006F24C4">
        <w:trPr>
          <w:trHeight w:val="6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№ п/п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Наименование критерия/подкритерия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jc w:val="center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Наименование оцениваемых сведений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1.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Статус Участника закупки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1.1.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Правоспособность Участника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Документы, подтверждающие правоспособность Участника:</w:t>
            </w:r>
          </w:p>
          <w:p w:rsidR="006F24C4" w:rsidRPr="006F24C4" w:rsidRDefault="006F24C4" w:rsidP="006F24C4">
            <w:pPr>
              <w:tabs>
                <w:tab w:val="left" w:pos="742"/>
                <w:tab w:val="left" w:pos="1167"/>
              </w:tabs>
              <w:ind w:left="317"/>
              <w:jc w:val="both"/>
              <w:rPr>
                <w:rFonts w:cs="Tahoma"/>
                <w:snapToGrid w:val="0"/>
                <w:szCs w:val="20"/>
              </w:rPr>
            </w:pPr>
            <w:r>
              <w:rPr>
                <w:rFonts w:cs="Tahoma"/>
                <w:snapToGrid w:val="0"/>
                <w:szCs w:val="20"/>
              </w:rPr>
              <w:t xml:space="preserve">- </w:t>
            </w:r>
            <w:r w:rsidRPr="006F24C4">
              <w:rPr>
                <w:rFonts w:cs="Tahoma"/>
                <w:snapToGrid w:val="0"/>
                <w:szCs w:val="20"/>
              </w:rPr>
              <w:t>Выписка из Единого государственного реестра юридических лиц (ЕГРЮЛ), Единого государственного реестра индивидуальных предпринимателей (ЕГРИП) выданная территориальным органом ФНС России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форме), не ранее чем за 1 (один) месяц до дня размещения в ЕИС извещения или засвидетельствованную в нотариальном порядке копию такой выписки,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копии документов, удостоверяющих личность (для иного физического лица);</w:t>
            </w:r>
          </w:p>
          <w:p w:rsidR="006F24C4" w:rsidRPr="006F24C4" w:rsidRDefault="006F24C4" w:rsidP="006F24C4">
            <w:pPr>
              <w:numPr>
                <w:ilvl w:val="4"/>
                <w:numId w:val="0"/>
              </w:numPr>
              <w:tabs>
                <w:tab w:val="left" w:pos="742"/>
                <w:tab w:val="left" w:pos="1167"/>
              </w:tabs>
              <w:ind w:left="317"/>
              <w:jc w:val="both"/>
              <w:rPr>
                <w:rFonts w:cs="Tahoma"/>
                <w:snapToGrid w:val="0"/>
                <w:szCs w:val="20"/>
              </w:rPr>
            </w:pPr>
            <w:r>
              <w:rPr>
                <w:rFonts w:cs="Tahoma"/>
                <w:snapToGrid w:val="0"/>
                <w:szCs w:val="20"/>
              </w:rPr>
              <w:t xml:space="preserve">- </w:t>
            </w:r>
            <w:r w:rsidRPr="006F24C4">
              <w:rPr>
                <w:rFonts w:cs="Tahoma"/>
                <w:snapToGrid w:val="0"/>
                <w:szCs w:val="20"/>
              </w:rPr>
              <w:t xml:space="preserve">Копия устава в действующей редакции со всеми изменениями и дополнениями, заверенную Участником </w:t>
            </w:r>
            <w:proofErr w:type="gramStart"/>
            <w:r w:rsidRPr="006F24C4">
              <w:rPr>
                <w:rFonts w:cs="Tahoma"/>
                <w:snapToGrid w:val="0"/>
                <w:szCs w:val="20"/>
              </w:rPr>
              <w:t>закупки ;</w:t>
            </w:r>
            <w:proofErr w:type="gramEnd"/>
          </w:p>
          <w:p w:rsidR="006F24C4" w:rsidRPr="006F24C4" w:rsidRDefault="006F24C4" w:rsidP="006F24C4">
            <w:pPr>
              <w:numPr>
                <w:ilvl w:val="4"/>
                <w:numId w:val="0"/>
              </w:numPr>
              <w:tabs>
                <w:tab w:val="left" w:pos="742"/>
                <w:tab w:val="left" w:pos="1167"/>
              </w:tabs>
              <w:ind w:left="317"/>
              <w:jc w:val="both"/>
              <w:rPr>
                <w:rFonts w:cs="Tahoma"/>
                <w:snapToGrid w:val="0"/>
                <w:szCs w:val="20"/>
              </w:rPr>
            </w:pPr>
            <w:r>
              <w:rPr>
                <w:rFonts w:cs="Tahoma"/>
                <w:snapToGrid w:val="0"/>
                <w:szCs w:val="20"/>
              </w:rPr>
              <w:t xml:space="preserve">- </w:t>
            </w:r>
            <w:r w:rsidRPr="006F24C4">
              <w:rPr>
                <w:rFonts w:cs="Tahoma"/>
                <w:snapToGrid w:val="0"/>
                <w:szCs w:val="20"/>
              </w:rPr>
              <w:t>Свидетельство о государственной регистрации юридического лица/ свидетельство о государственной регистрации физического лица в качестве индивидуального предпринимателя (копия, заверенная Участником закупки);</w:t>
            </w:r>
          </w:p>
          <w:p w:rsidR="006F24C4" w:rsidRPr="006F24C4" w:rsidRDefault="006F24C4" w:rsidP="006F24C4">
            <w:pPr>
              <w:numPr>
                <w:ilvl w:val="4"/>
                <w:numId w:val="0"/>
              </w:numPr>
              <w:tabs>
                <w:tab w:val="left" w:pos="742"/>
                <w:tab w:val="left" w:pos="1167"/>
              </w:tabs>
              <w:ind w:left="317"/>
              <w:jc w:val="both"/>
              <w:rPr>
                <w:rFonts w:cs="Tahoma"/>
                <w:snapToGrid w:val="0"/>
                <w:szCs w:val="20"/>
              </w:rPr>
            </w:pPr>
            <w:r>
              <w:rPr>
                <w:rFonts w:cs="Tahoma"/>
                <w:snapToGrid w:val="0"/>
                <w:szCs w:val="20"/>
              </w:rPr>
              <w:t xml:space="preserve">- </w:t>
            </w:r>
            <w:r w:rsidRPr="006F24C4">
              <w:rPr>
                <w:rFonts w:cs="Tahoma"/>
                <w:snapToGrid w:val="0"/>
                <w:szCs w:val="20"/>
              </w:rPr>
              <w:t>Свидетельство о постановке на учет в налоговом органе по месту нахождения и присвоении ИНН/КПП (копия, заверенная Участником закупки)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Благонадежность Участника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Соответствие Участника установленным корпоративным требованиям безопасности:</w:t>
            </w:r>
          </w:p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 w:rsidDel="00370FF0">
              <w:rPr>
                <w:rFonts w:cs="Tahoma"/>
                <w:snapToGrid w:val="0"/>
                <w:szCs w:val="20"/>
              </w:rPr>
              <w:t xml:space="preserve"> </w:t>
            </w:r>
            <w:r w:rsidRPr="006F24C4">
              <w:rPr>
                <w:rFonts w:cs="Tahoma"/>
                <w:snapToGrid w:val="0"/>
                <w:szCs w:val="20"/>
              </w:rPr>
              <w:t xml:space="preserve"> 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1.3.1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Отсутствие в отношении Участника закупки сведений, опубликованных в журнале «Вестник государственной регистрации»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1.3.2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 xml:space="preserve">Отсутствие применения в отношении Участника закупки - </w:t>
            </w:r>
            <w:r w:rsidRPr="006F24C4">
              <w:rPr>
                <w:rFonts w:cs="Tahoma"/>
                <w:szCs w:val="20"/>
                <w:lang w:eastAsia="en-US"/>
              </w:rPr>
              <w:lastRenderedPageBreak/>
              <w:t>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lastRenderedPageBreak/>
              <w:t>Справка о кадровых ресурсах.</w:t>
            </w:r>
          </w:p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lastRenderedPageBreak/>
              <w:t>Декларация о соответствии Участника закупки установленным требованиям.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lastRenderedPageBreak/>
              <w:t>1.3.3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Отсутствие судебных актов арбитражных и/или третейских судов, вступивших в законную силу, не в пользу Участника закупки вследствие неисполнения  им договорных обязательств по договорам поставки, подряда, оказания услуг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Справка об участии в судебных разбирательствах за последние 2 года, Декларация о соответствии Участника закупки установленным требованиям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1.3.4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ind w:firstLine="567"/>
              <w:rPr>
                <w:rFonts w:cs="Tahoma"/>
                <w:snapToGrid w:val="0"/>
                <w:szCs w:val="20"/>
                <w:lang w:eastAsia="en-US"/>
              </w:rPr>
            </w:pPr>
            <w:r w:rsidRPr="006F24C4">
              <w:rPr>
                <w:rFonts w:cs="Tahoma"/>
                <w:snapToGrid w:val="0"/>
                <w:szCs w:val="20"/>
                <w:lang w:eastAsia="en-US"/>
              </w:rPr>
              <w:t>Отсутствие необъяснимых противоречий и недостоверных сведений в предоставленных Участником закупки документах и информации.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ind w:firstLine="567"/>
              <w:jc w:val="both"/>
              <w:rPr>
                <w:rFonts w:cs="Tahoma"/>
                <w:snapToGrid w:val="0"/>
                <w:szCs w:val="20"/>
                <w:lang w:eastAsia="en-US"/>
              </w:rPr>
            </w:pPr>
            <w:r w:rsidRPr="006F24C4">
              <w:rPr>
                <w:rFonts w:cs="Tahoma"/>
                <w:snapToGrid w:val="0"/>
                <w:szCs w:val="20"/>
                <w:lang w:eastAsia="en-US"/>
              </w:rPr>
              <w:t>Информация, сведения, представленные Участником закупки в своей заявке на предмет отсутствия необъяснимых противоречий и недостоверных сведений внешней информации, полученной не из заявки Участника закупки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1.3.5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proofErr w:type="spellStart"/>
            <w:r w:rsidRPr="006F24C4">
              <w:rPr>
                <w:rFonts w:cs="Tahoma"/>
                <w:szCs w:val="20"/>
                <w:lang w:eastAsia="en-US"/>
              </w:rPr>
              <w:t>Непроведение</w:t>
            </w:r>
            <w:proofErr w:type="spellEnd"/>
            <w:r w:rsidRPr="006F24C4">
              <w:rPr>
                <w:rFonts w:cs="Tahoma"/>
                <w:szCs w:val="20"/>
                <w:lang w:eastAsia="en-US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 xml:space="preserve">Декларация о соответствии Участника закупки установленным требованиям,  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1.3.6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ind w:firstLine="567"/>
              <w:rPr>
                <w:rFonts w:cs="Tahoma"/>
                <w:snapToGrid w:val="0"/>
                <w:szCs w:val="20"/>
                <w:lang w:eastAsia="en-US"/>
              </w:rPr>
            </w:pPr>
            <w:proofErr w:type="spellStart"/>
            <w:r w:rsidRPr="006F24C4">
              <w:rPr>
                <w:rFonts w:cs="Tahoma"/>
                <w:snapToGrid w:val="0"/>
                <w:szCs w:val="20"/>
                <w:lang w:eastAsia="en-US"/>
              </w:rPr>
              <w:t>Неприостановление</w:t>
            </w:r>
            <w:proofErr w:type="spellEnd"/>
            <w:r w:rsidRPr="006F24C4">
              <w:rPr>
                <w:rFonts w:cs="Tahoma"/>
                <w:snapToGrid w:val="0"/>
                <w:szCs w:val="20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 xml:space="preserve">        Декларация о соответствии Участника закупки установленным требованиям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1.3.7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 xml:space="preserve">Участник закупки-юридическое лицо, которое в течение двух лет до момента подачи заявки на участие в закупке не было </w:t>
            </w:r>
            <w:r w:rsidRPr="006F24C4">
              <w:rPr>
                <w:rFonts w:cs="Tahoma"/>
                <w:szCs w:val="20"/>
                <w:lang w:eastAsia="en-US"/>
              </w:rPr>
              <w:lastRenderedPageBreak/>
              <w:t>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lastRenderedPageBreak/>
              <w:t xml:space="preserve">Декларация о соответствии Участника закупки установленным требованиям 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360" w:lineRule="auto"/>
              <w:jc w:val="both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2.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after="120" w:line="360" w:lineRule="auto"/>
              <w:ind w:firstLine="567"/>
              <w:jc w:val="both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 xml:space="preserve">Статус коллективного частника  </w:t>
            </w:r>
          </w:p>
        </w:tc>
      </w:tr>
      <w:tr w:rsidR="006F24C4" w:rsidRPr="006F24C4" w:rsidTr="006F24C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360" w:lineRule="auto"/>
              <w:ind w:left="-84" w:firstLine="84"/>
              <w:jc w:val="both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2.1.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ind w:firstLine="567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jc w:val="center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3.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Статус оферты Участника закупки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3.1.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Правомочие лица, подписавшего оферту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6F24C4" w:rsidRPr="006F24C4" w:rsidTr="00742CE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Соответствие оферты требованиям закупочной документации (в том числе Приложения №1 Технического задания)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3.2.1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срок</w:t>
            </w:r>
            <w:proofErr w:type="spellEnd"/>
            <w:r w:rsidRPr="006F24C4"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действия</w:t>
            </w:r>
            <w:proofErr w:type="spellEnd"/>
            <w:r w:rsidRPr="006F24C4"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оферты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срок</w:t>
            </w:r>
            <w:proofErr w:type="spellEnd"/>
            <w:r w:rsidRPr="006F24C4"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действия</w:t>
            </w:r>
            <w:proofErr w:type="spellEnd"/>
            <w:r w:rsidRPr="006F24C4"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 w:rsidRPr="006F24C4">
              <w:rPr>
                <w:rFonts w:cs="Tahoma"/>
                <w:szCs w:val="20"/>
                <w:lang w:val="en-US" w:eastAsia="en-US"/>
              </w:rPr>
              <w:t>оферты</w:t>
            </w:r>
            <w:proofErr w:type="spellEnd"/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3.2.2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3.2.3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</w:tr>
      <w:tr w:rsidR="006F24C4" w:rsidRPr="006F24C4" w:rsidTr="006F24C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3.2.4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</w:tr>
      <w:tr w:rsidR="006F24C4" w:rsidRPr="006F24C4" w:rsidTr="006F24C4">
        <w:trPr>
          <w:trHeight w:val="27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both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snapToGrid w:val="0"/>
                <w:szCs w:val="20"/>
              </w:rPr>
              <w:t>3.2.5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</w:tr>
      <w:tr w:rsidR="006F24C4" w:rsidRPr="006F24C4" w:rsidTr="006F24C4">
        <w:trPr>
          <w:trHeight w:val="27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jc w:val="center"/>
              <w:rPr>
                <w:rFonts w:cs="Tahoma"/>
                <w:b/>
                <w:snapToGrid w:val="0"/>
                <w:szCs w:val="20"/>
              </w:rPr>
            </w:pPr>
            <w:r w:rsidRPr="006F24C4">
              <w:rPr>
                <w:rFonts w:cs="Tahoma"/>
                <w:b/>
                <w:snapToGrid w:val="0"/>
                <w:szCs w:val="20"/>
              </w:rPr>
              <w:t>4.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Соответствие заявки по своему составу и (или) оформлению требованиям документации о закупке (в том числе не превышение НМЦ)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6F24C4">
              <w:rPr>
                <w:rFonts w:cs="Tahoma"/>
                <w:szCs w:val="20"/>
                <w:lang w:eastAsia="en-US"/>
              </w:rPr>
              <w:t>Информация и документы заявки (в том числе отсутствие разногласий к исходному проекту договора)</w:t>
            </w:r>
          </w:p>
        </w:tc>
      </w:tr>
    </w:tbl>
    <w:p w:rsidR="00405C55" w:rsidRDefault="00405C55" w:rsidP="00963258">
      <w:pPr>
        <w:ind w:left="-993"/>
      </w:pPr>
    </w:p>
    <w:p w:rsidR="00405C55" w:rsidRDefault="00405C55" w:rsidP="00963258">
      <w:pPr>
        <w:ind w:left="-993"/>
      </w:pPr>
    </w:p>
    <w:p w:rsidR="00405C55" w:rsidRDefault="00405C55" w:rsidP="00963258">
      <w:pPr>
        <w:ind w:left="-993"/>
      </w:pPr>
    </w:p>
    <w:p w:rsidR="00405C55" w:rsidRDefault="00405C55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6F24C4" w:rsidRDefault="006F24C4" w:rsidP="00963258">
      <w:pPr>
        <w:ind w:left="-993"/>
      </w:pPr>
    </w:p>
    <w:p w:rsidR="00405C55" w:rsidRDefault="00405C55" w:rsidP="00963258">
      <w:pPr>
        <w:ind w:left="-993"/>
      </w:pPr>
    </w:p>
    <w:p w:rsidR="00963258" w:rsidRDefault="00963258" w:rsidP="00963258">
      <w:pPr>
        <w:pStyle w:val="a3"/>
        <w:numPr>
          <w:ilvl w:val="0"/>
          <w:numId w:val="7"/>
        </w:numPr>
        <w:spacing w:after="0" w:line="276" w:lineRule="auto"/>
        <w:jc w:val="center"/>
        <w:rPr>
          <w:b/>
        </w:rPr>
      </w:pPr>
      <w:r>
        <w:rPr>
          <w:b/>
        </w:rPr>
        <w:lastRenderedPageBreak/>
        <w:t>Критерии оценки заявок Участников закупки</w:t>
      </w:r>
    </w:p>
    <w:p w:rsidR="00963258" w:rsidRDefault="00963258" w:rsidP="00963258"/>
    <w:tbl>
      <w:tblPr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3354"/>
        <w:gridCol w:w="2749"/>
        <w:gridCol w:w="1157"/>
        <w:gridCol w:w="1035"/>
      </w:tblGrid>
      <w:tr w:rsidR="006F24C4" w:rsidRPr="006F24C4" w:rsidTr="00194B07">
        <w:trPr>
          <w:trHeight w:val="1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eastAsia="en-US"/>
              </w:rPr>
              <w:t>№</w:t>
            </w:r>
          </w:p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eastAsia="en-US"/>
              </w:rPr>
              <w:t>Критерий</w:t>
            </w:r>
          </w:p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eastAsia="en-US"/>
              </w:rPr>
              <w:t>Подкритерий первого уровня</w:t>
            </w:r>
          </w:p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eastAsia="en-US"/>
              </w:rPr>
              <w:t>Весовой коэффициент критерия</w:t>
            </w:r>
          </w:p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eastAsia="en-US"/>
              </w:rPr>
              <w:t>Весовой коэффициент подкритерия первого уровня</w:t>
            </w:r>
          </w:p>
        </w:tc>
      </w:tr>
      <w:tr w:rsidR="006F24C4" w:rsidRPr="006F24C4" w:rsidTr="00194B07">
        <w:trPr>
          <w:trHeight w:val="1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  <w:r w:rsidRPr="006F24C4">
              <w:rPr>
                <w:b/>
                <w:lang w:val="en-US" w:eastAsia="en-US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  <w:proofErr w:type="spellStart"/>
            <w:r w:rsidRPr="006F24C4">
              <w:rPr>
                <w:b/>
                <w:lang w:val="en-US" w:eastAsia="en-US"/>
              </w:rPr>
              <w:t>Коммерческие</w:t>
            </w:r>
            <w:proofErr w:type="spellEnd"/>
            <w:r w:rsidRPr="006F24C4">
              <w:rPr>
                <w:b/>
                <w:lang w:val="en-US" w:eastAsia="en-US"/>
              </w:rPr>
              <w:t xml:space="preserve"> </w:t>
            </w:r>
            <w:proofErr w:type="spellStart"/>
            <w:r w:rsidRPr="006F24C4">
              <w:rPr>
                <w:b/>
                <w:lang w:val="en-US" w:eastAsia="en-US"/>
              </w:rPr>
              <w:t>условия</w:t>
            </w:r>
            <w:proofErr w:type="spellEnd"/>
            <w:r w:rsidRPr="006F24C4">
              <w:rPr>
                <w:b/>
                <w:lang w:val="en-US" w:eastAsia="en-US"/>
              </w:rPr>
              <w:t xml:space="preserve"> </w:t>
            </w:r>
            <w:proofErr w:type="spellStart"/>
            <w:r w:rsidRPr="006F24C4">
              <w:rPr>
                <w:b/>
                <w:lang w:val="en-US" w:eastAsia="en-US"/>
              </w:rPr>
              <w:t>заявки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C4" w:rsidRPr="006F24C4" w:rsidRDefault="006F24C4" w:rsidP="006F24C4">
            <w:pPr>
              <w:spacing w:line="276" w:lineRule="auto"/>
              <w:jc w:val="center"/>
              <w:rPr>
                <w:lang w:eastAsia="en-US"/>
              </w:rPr>
            </w:pPr>
            <w:r w:rsidRPr="006F24C4">
              <w:rPr>
                <w:lang w:val="en-US" w:eastAsia="en-US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</w:tr>
      <w:tr w:rsidR="006F24C4" w:rsidRPr="006F24C4" w:rsidTr="00194B07">
        <w:trPr>
          <w:trHeight w:val="1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  <w:r w:rsidRPr="006F24C4">
              <w:rPr>
                <w:lang w:val="en-US" w:eastAsia="en-US"/>
              </w:rPr>
              <w:t>1.1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  <w:proofErr w:type="spellStart"/>
            <w:r w:rsidRPr="006F24C4">
              <w:rPr>
                <w:lang w:val="en-US" w:eastAsia="en-US"/>
              </w:rPr>
              <w:t>Стоимость</w:t>
            </w:r>
            <w:proofErr w:type="spellEnd"/>
            <w:r w:rsidRPr="006F24C4">
              <w:rPr>
                <w:lang w:val="en-US" w:eastAsia="en-US"/>
              </w:rPr>
              <w:t xml:space="preserve"> </w:t>
            </w:r>
            <w:proofErr w:type="spellStart"/>
            <w:r w:rsidRPr="006F24C4">
              <w:rPr>
                <w:lang w:val="en-US" w:eastAsia="en-US"/>
              </w:rPr>
              <w:t>предложения</w:t>
            </w:r>
            <w:proofErr w:type="spellEnd"/>
          </w:p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  <w:r w:rsidRPr="006F24C4">
              <w:rPr>
                <w:lang w:val="en-US" w:eastAsia="en-US"/>
              </w:rPr>
              <w:t>0,8</w:t>
            </w:r>
          </w:p>
        </w:tc>
      </w:tr>
      <w:tr w:rsidR="006F24C4" w:rsidRPr="006F24C4" w:rsidTr="00194B07">
        <w:trPr>
          <w:trHeight w:val="1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val="en-US" w:eastAsia="en-US"/>
              </w:rPr>
            </w:pPr>
            <w:r w:rsidRPr="006F24C4">
              <w:rPr>
                <w:lang w:val="en-US" w:eastAsia="en-US"/>
              </w:rPr>
              <w:t>1.2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4" w:rsidRPr="006F24C4" w:rsidRDefault="006F24C4" w:rsidP="006F24C4">
            <w:pPr>
              <w:spacing w:line="276" w:lineRule="auto"/>
              <w:rPr>
                <w:lang w:val="en-US" w:eastAsia="en-US"/>
              </w:rPr>
            </w:pPr>
            <w:proofErr w:type="spellStart"/>
            <w:r w:rsidRPr="006F24C4">
              <w:rPr>
                <w:lang w:val="en-US" w:eastAsia="en-US"/>
              </w:rPr>
              <w:t>Условия</w:t>
            </w:r>
            <w:proofErr w:type="spellEnd"/>
            <w:r w:rsidRPr="006F24C4">
              <w:rPr>
                <w:lang w:val="en-US" w:eastAsia="en-US"/>
              </w:rPr>
              <w:t xml:space="preserve"> </w:t>
            </w:r>
            <w:proofErr w:type="spellStart"/>
            <w:r w:rsidRPr="006F24C4">
              <w:rPr>
                <w:lang w:val="en-US" w:eastAsia="en-US"/>
              </w:rPr>
              <w:t>оплаты</w:t>
            </w:r>
            <w:proofErr w:type="spellEnd"/>
          </w:p>
          <w:p w:rsidR="006F24C4" w:rsidRPr="006F24C4" w:rsidRDefault="006F24C4" w:rsidP="006F24C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C4" w:rsidRPr="006F24C4" w:rsidRDefault="006F24C4" w:rsidP="006F24C4">
            <w:pPr>
              <w:spacing w:line="276" w:lineRule="auto"/>
              <w:rPr>
                <w:lang w:val="en-US" w:eastAsia="en-US"/>
              </w:rPr>
            </w:pPr>
            <w:r w:rsidRPr="006F24C4">
              <w:rPr>
                <w:lang w:val="en-US" w:eastAsia="en-US"/>
              </w:rPr>
              <w:t>0,2</w:t>
            </w:r>
          </w:p>
        </w:tc>
      </w:tr>
    </w:tbl>
    <w:p w:rsidR="00963258" w:rsidRDefault="00963258" w:rsidP="00963258"/>
    <w:p w:rsidR="00963258" w:rsidRDefault="00963258" w:rsidP="00963258">
      <w:pPr>
        <w:pStyle w:val="a8"/>
      </w:pPr>
    </w:p>
    <w:p w:rsidR="006F24C4" w:rsidRPr="006F24C4" w:rsidRDefault="006F24C4" w:rsidP="006F24C4">
      <w:pPr>
        <w:ind w:firstLine="708"/>
        <w:jc w:val="both"/>
        <w:rPr>
          <w:rFonts w:cs="Tahoma"/>
          <w:szCs w:val="20"/>
        </w:rPr>
      </w:pPr>
      <w:r w:rsidRPr="006F24C4">
        <w:rPr>
          <w:rFonts w:cs="Tahoma"/>
          <w:szCs w:val="20"/>
        </w:rPr>
        <w:t xml:space="preserve">При оценке заявок Участников используется </w:t>
      </w:r>
      <w:proofErr w:type="spellStart"/>
      <w:r w:rsidRPr="006F24C4">
        <w:rPr>
          <w:rFonts w:cs="Tahoma"/>
          <w:szCs w:val="20"/>
        </w:rPr>
        <w:t>четырехбалльная</w:t>
      </w:r>
      <w:proofErr w:type="spellEnd"/>
      <w:r w:rsidRPr="006F24C4">
        <w:rPr>
          <w:rFonts w:cs="Tahoma"/>
          <w:szCs w:val="20"/>
        </w:rPr>
        <w:t xml:space="preserve"> шкала.</w:t>
      </w:r>
    </w:p>
    <w:p w:rsidR="006F24C4" w:rsidRPr="006F24C4" w:rsidRDefault="006F24C4" w:rsidP="006F24C4">
      <w:pPr>
        <w:ind w:firstLine="708"/>
        <w:jc w:val="both"/>
        <w:rPr>
          <w:rFonts w:cs="Tahoma"/>
          <w:szCs w:val="20"/>
        </w:rPr>
      </w:pPr>
    </w:p>
    <w:p w:rsidR="006F24C4" w:rsidRPr="006F24C4" w:rsidRDefault="006F24C4" w:rsidP="006F24C4">
      <w:pPr>
        <w:ind w:firstLine="708"/>
        <w:jc w:val="both"/>
        <w:rPr>
          <w:rFonts w:cs="Tahoma"/>
          <w:b/>
          <w:szCs w:val="20"/>
        </w:rPr>
      </w:pPr>
      <w:r w:rsidRPr="006F24C4">
        <w:rPr>
          <w:rFonts w:cs="Tahoma"/>
          <w:szCs w:val="20"/>
        </w:rPr>
        <w:t xml:space="preserve">Оценка по каждому критерию определяется путем произведения выставленных баллов и соответствующих весовых коэффициентов данного критерия.    </w:t>
      </w:r>
    </w:p>
    <w:p w:rsidR="006F24C4" w:rsidRPr="006F24C4" w:rsidRDefault="006F24C4" w:rsidP="006F24C4">
      <w:pPr>
        <w:ind w:firstLine="708"/>
        <w:rPr>
          <w:rFonts w:cs="Tahoma"/>
        </w:rPr>
      </w:pPr>
    </w:p>
    <w:p w:rsidR="006F24C4" w:rsidRPr="006F24C4" w:rsidRDefault="006F24C4" w:rsidP="006F24C4">
      <w:pPr>
        <w:ind w:firstLine="708"/>
        <w:jc w:val="both"/>
        <w:rPr>
          <w:rFonts w:cs="Tahoma"/>
          <w:szCs w:val="20"/>
        </w:rPr>
      </w:pPr>
      <w:r w:rsidRPr="006F24C4">
        <w:rPr>
          <w:rFonts w:cs="Tahoma"/>
          <w:szCs w:val="20"/>
        </w:rPr>
        <w:t>По подкритерию «</w:t>
      </w:r>
      <w:r w:rsidRPr="006F24C4">
        <w:rPr>
          <w:rFonts w:cs="Tahoma"/>
        </w:rPr>
        <w:t>Стоимость предложения</w:t>
      </w:r>
      <w:r w:rsidRPr="006F24C4">
        <w:rPr>
          <w:rFonts w:cs="Tahoma"/>
          <w:szCs w:val="20"/>
        </w:rPr>
        <w:t>» оценка производится в соответствии со следующей методикой:</w:t>
      </w:r>
    </w:p>
    <w:p w:rsidR="006F24C4" w:rsidRPr="006F24C4" w:rsidRDefault="006F24C4" w:rsidP="006F24C4">
      <w:pPr>
        <w:tabs>
          <w:tab w:val="left" w:pos="708"/>
        </w:tabs>
        <w:ind w:firstLine="708"/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 xml:space="preserve">Стоимость </w:t>
      </w:r>
      <w:r w:rsidRPr="006F24C4">
        <w:rPr>
          <w:rFonts w:cs="Tahoma"/>
          <w:szCs w:val="20"/>
          <w:lang w:eastAsia="x-none"/>
        </w:rPr>
        <w:t>заявки, указанная в оферте Участника,</w:t>
      </w:r>
      <w:r w:rsidRPr="006F24C4">
        <w:rPr>
          <w:rFonts w:cs="Tahoma"/>
          <w:szCs w:val="20"/>
          <w:lang w:eastAsia="en-US"/>
        </w:rPr>
        <w:t xml:space="preserve"> подлежит дисконтированию с учетом графика оплаты</w:t>
      </w:r>
      <w:r w:rsidRPr="006F24C4">
        <w:rPr>
          <w:rFonts w:cs="Tahoma"/>
          <w:szCs w:val="20"/>
          <w:lang w:eastAsia="x-none"/>
        </w:rPr>
        <w:t>, представленного в заявке Участника,</w:t>
      </w:r>
      <w:r w:rsidRPr="006F24C4">
        <w:rPr>
          <w:rFonts w:cs="Tahoma"/>
          <w:szCs w:val="20"/>
          <w:lang w:eastAsia="en-US"/>
        </w:rPr>
        <w:t xml:space="preserve"> и ставки рефинансирования Центрального Банка Российской Федерации. 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>Дисконтирование производится по следующей формуле: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m:oMath>
        <m:r>
          <m:rPr>
            <m:sty m:val="p"/>
          </m:rPr>
          <w:rPr>
            <w:rFonts w:ascii="Cambria Math" w:cs="Tahoma"/>
            <w:szCs w:val="20"/>
            <w:lang w:eastAsia="en-US"/>
          </w:rPr>
          <m:t>Стоимость</m:t>
        </m:r>
        <m:r>
          <m:rPr>
            <m:sty m:val="b"/>
          </m:rPr>
          <w:rPr>
            <w:rFonts w:ascii="Cambria Math" w:cs="Tahoma"/>
            <w:szCs w:val="20"/>
            <w:lang w:eastAsia="en-US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0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i</m:t>
            </m:r>
            <m:r>
              <m:rPr>
                <m:sty m:val="p"/>
              </m:rPr>
              <w:rPr>
                <w:rFonts w:ascii="Cambria Math" w:cs="Tahoma"/>
                <w:szCs w:val="20"/>
                <w:lang w:eastAsia="en-US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sz w:val="28"/>
                    <w:szCs w:val="20"/>
                    <w:lang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cs="Tahoma"/>
                        <w:szCs w:val="20"/>
                        <w:lang w:eastAsia="en-US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20"/>
                        <w:lang w:eastAsia="en-US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0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0"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Cs w:val="20"/>
                            <w:lang w:eastAsia="en-US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cs="Tahoma"/>
                            <w:szCs w:val="20"/>
                            <w:lang w:eastAsia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0"/>
                                <w:lang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cs="Tahoma"/>
                                <w:szCs w:val="20"/>
                                <w:lang w:eastAsia="en-US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20"/>
                                <w:lang w:eastAsia="en-US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20"/>
                        <w:lang w:eastAsia="en-US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0"/>
                        <w:lang w:eastAsia="en-US"/>
                      </w:rPr>
                    </m:ctrlPr>
                  </m:sup>
                </m:sSup>
                <m:ctrlPr>
                  <w:rPr>
                    <w:rFonts w:ascii="Cambria Math" w:hAnsi="Cambria Math"/>
                    <w:i/>
                    <w:sz w:val="28"/>
                    <w:szCs w:val="20"/>
                    <w:lang w:eastAsia="en-US"/>
                  </w:rPr>
                </m:ctrlPr>
              </m:den>
            </m:f>
          </m:e>
        </m:nary>
      </m:oMath>
      <w:r w:rsidRPr="006F24C4">
        <w:rPr>
          <w:rFonts w:cs="Tahoma"/>
          <w:szCs w:val="20"/>
          <w:lang w:eastAsia="en-US"/>
        </w:rPr>
        <w:t xml:space="preserve"> 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>Где: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 xml:space="preserve">Стоимость – дисконтированная стоимость </w:t>
      </w:r>
      <w:r w:rsidRPr="006F24C4">
        <w:rPr>
          <w:rFonts w:cs="Tahoma"/>
          <w:szCs w:val="20"/>
          <w:lang w:eastAsia="x-none"/>
        </w:rPr>
        <w:t>заявки</w:t>
      </w:r>
      <w:r w:rsidRPr="006F24C4">
        <w:rPr>
          <w:rFonts w:cs="Tahoma"/>
          <w:szCs w:val="20"/>
          <w:lang w:eastAsia="en-US"/>
        </w:rPr>
        <w:t xml:space="preserve"> без НДС;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>n – количество месяцев/дней от момента заключения договора до наступления срока последнего платежа;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>i - счетный месяц/день наступления очередного платежа;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proofErr w:type="spellStart"/>
      <w:r w:rsidRPr="006F24C4">
        <w:rPr>
          <w:rFonts w:cs="Tahoma"/>
          <w:szCs w:val="20"/>
          <w:lang w:eastAsia="en-US"/>
        </w:rPr>
        <w:t>Платеж</w:t>
      </w:r>
      <w:r w:rsidRPr="006F24C4">
        <w:rPr>
          <w:rFonts w:cs="Tahoma"/>
          <w:szCs w:val="20"/>
          <w:vertAlign w:val="subscript"/>
          <w:lang w:eastAsia="en-US"/>
        </w:rPr>
        <w:t>i</w:t>
      </w:r>
      <w:proofErr w:type="spellEnd"/>
      <w:r w:rsidRPr="006F24C4">
        <w:rPr>
          <w:rFonts w:cs="Tahoma"/>
          <w:szCs w:val="20"/>
          <w:lang w:eastAsia="en-US"/>
        </w:rPr>
        <w:t xml:space="preserve"> – сумма оплаты в месяц/день i в соответствии с графиком платежей без НДС;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6F24C4">
        <w:rPr>
          <w:rFonts w:cs="Tahoma"/>
          <w:szCs w:val="20"/>
          <w:lang w:eastAsia="en-US"/>
        </w:rPr>
        <w:t xml:space="preserve">Ставка – ставка рефинансирования Центрального Банка Российской Федерации. </w:t>
      </w:r>
    </w:p>
    <w:p w:rsidR="006F24C4" w:rsidRPr="006F24C4" w:rsidRDefault="006F24C4" w:rsidP="006F24C4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proofErr w:type="spellStart"/>
      <w:r w:rsidRPr="006F24C4">
        <w:rPr>
          <w:rFonts w:cs="Tahoma"/>
          <w:szCs w:val="20"/>
          <w:lang w:eastAsia="en-US"/>
        </w:rPr>
        <w:t>ni</w:t>
      </w:r>
      <w:proofErr w:type="spellEnd"/>
      <w:r w:rsidRPr="006F24C4">
        <w:rPr>
          <w:rFonts w:cs="Tahoma"/>
          <w:szCs w:val="20"/>
          <w:lang w:eastAsia="en-US"/>
        </w:rPr>
        <w:t xml:space="preserve"> – количество счетных месяцев/дней в году.</w:t>
      </w:r>
    </w:p>
    <w:p w:rsidR="006F24C4" w:rsidRPr="006F24C4" w:rsidRDefault="006F24C4" w:rsidP="006F24C4">
      <w:pPr>
        <w:ind w:firstLine="708"/>
        <w:rPr>
          <w:rFonts w:cs="Tahoma"/>
        </w:rPr>
      </w:pPr>
    </w:p>
    <w:p w:rsidR="006F24C4" w:rsidRPr="006F24C4" w:rsidRDefault="006F24C4" w:rsidP="006F24C4">
      <w:pPr>
        <w:ind w:firstLine="708"/>
        <w:rPr>
          <w:rFonts w:cs="Tahoma"/>
        </w:rPr>
      </w:pPr>
    </w:p>
    <w:p w:rsidR="006F24C4" w:rsidRPr="006F24C4" w:rsidRDefault="006F24C4" w:rsidP="006F24C4">
      <w:pPr>
        <w:ind w:firstLine="708"/>
        <w:rPr>
          <w:rFonts w:cs="Tahoma"/>
        </w:rPr>
      </w:pPr>
      <w:r w:rsidRPr="006F24C4">
        <w:rPr>
          <w:rFonts w:cs="Tahoma"/>
        </w:rPr>
        <w:t>Балльная оценка каждой заявки по подкритерию «Стоимость предложения» определяется по следующей формуле:</w:t>
      </w:r>
    </w:p>
    <w:p w:rsidR="006F24C4" w:rsidRPr="006F24C4" w:rsidRDefault="006F24C4" w:rsidP="006F24C4">
      <w:pPr>
        <w:rPr>
          <w:rFonts w:cs="Tahoma"/>
        </w:rPr>
      </w:pPr>
    </w:p>
    <w:p w:rsidR="006F24C4" w:rsidRPr="006F24C4" w:rsidRDefault="006F24C4" w:rsidP="006F24C4">
      <w:pPr>
        <w:rPr>
          <w:rFonts w:cs="Tahoma"/>
        </w:rPr>
      </w:pPr>
      <m:oMathPara>
        <m:oMath>
          <m:r>
            <m:rPr>
              <m:sty m:val="p"/>
            </m:rPr>
            <w:rPr>
              <w:rFonts w:ascii="Cambria Math" w:hAnsi="Cambria Math" w:cs="Tahoma"/>
            </w:rPr>
            <m:t>К1</m:t>
          </m:r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6F24C4" w:rsidRPr="006F24C4" w:rsidRDefault="006F24C4" w:rsidP="006F24C4">
      <w:pPr>
        <w:rPr>
          <w:rFonts w:cs="Tahoma"/>
        </w:rPr>
      </w:pPr>
    </w:p>
    <w:p w:rsidR="006F24C4" w:rsidRPr="006F24C4" w:rsidRDefault="006F24C4" w:rsidP="006F24C4">
      <w:pPr>
        <w:rPr>
          <w:rFonts w:cs="Tahoma"/>
        </w:rPr>
      </w:pPr>
      <w:r w:rsidRPr="006F24C4">
        <w:rPr>
          <w:rFonts w:cs="Tahoma"/>
        </w:rPr>
        <w:t xml:space="preserve">К1 – баллы, присуждаемые </w:t>
      </w:r>
      <w:proofErr w:type="spellStart"/>
      <w:r w:rsidRPr="006F24C4">
        <w:rPr>
          <w:rFonts w:cs="Tahoma"/>
          <w:lang w:val="en-US"/>
        </w:rPr>
        <w:t>i</w:t>
      </w:r>
      <w:proofErr w:type="spellEnd"/>
      <w:r w:rsidRPr="006F24C4">
        <w:rPr>
          <w:rFonts w:cs="Tahoma"/>
        </w:rPr>
        <w:t>-му Участнику;</w:t>
      </w:r>
    </w:p>
    <w:p w:rsidR="006F24C4" w:rsidRPr="006F24C4" w:rsidRDefault="006F24C4" w:rsidP="006F24C4">
      <w:pPr>
        <w:spacing w:line="360" w:lineRule="auto"/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Pr="006F24C4">
        <w:rPr>
          <w:rFonts w:cs="Tahoma"/>
        </w:rPr>
        <w:t xml:space="preserve"> – минимальная стоимость </w:t>
      </w:r>
      <w:r w:rsidRPr="006F24C4">
        <w:rPr>
          <w:rFonts w:cs="Tahoma"/>
          <w:szCs w:val="20"/>
        </w:rPr>
        <w:t>без НДС</w:t>
      </w:r>
      <w:r w:rsidRPr="006F24C4">
        <w:rPr>
          <w:rFonts w:cs="Tahoma"/>
        </w:rPr>
        <w:t xml:space="preserve"> заявки, предложенная Участниками;</w:t>
      </w:r>
    </w:p>
    <w:p w:rsidR="006F24C4" w:rsidRPr="006F24C4" w:rsidRDefault="006F24C4" w:rsidP="006F24C4">
      <w:pPr>
        <w:spacing w:line="360" w:lineRule="auto"/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Pr="006F24C4">
        <w:rPr>
          <w:rFonts w:cs="Tahoma"/>
        </w:rPr>
        <w:t xml:space="preserve">     – стоимость </w:t>
      </w:r>
      <w:r w:rsidRPr="006F24C4">
        <w:rPr>
          <w:rFonts w:cs="Tahoma"/>
          <w:szCs w:val="20"/>
        </w:rPr>
        <w:t xml:space="preserve">без НДС </w:t>
      </w:r>
      <w:r w:rsidRPr="006F24C4">
        <w:rPr>
          <w:rFonts w:cs="Tahoma"/>
        </w:rPr>
        <w:t xml:space="preserve">заявки </w:t>
      </w:r>
      <w:proofErr w:type="spellStart"/>
      <w:r w:rsidRPr="006F24C4">
        <w:rPr>
          <w:rFonts w:cs="Tahoma"/>
          <w:lang w:val="en-US"/>
        </w:rPr>
        <w:t>i</w:t>
      </w:r>
      <w:proofErr w:type="spellEnd"/>
      <w:r w:rsidRPr="006F24C4">
        <w:rPr>
          <w:rFonts w:cs="Tahoma"/>
        </w:rPr>
        <w:t>-го Участника;</w:t>
      </w:r>
    </w:p>
    <w:p w:rsidR="006F24C4" w:rsidRPr="006F24C4" w:rsidRDefault="006F24C4" w:rsidP="006F24C4">
      <w:pPr>
        <w:rPr>
          <w:rFonts w:cs="Tahoma"/>
        </w:rPr>
      </w:pPr>
      <w:proofErr w:type="spellStart"/>
      <w:r w:rsidRPr="006F24C4">
        <w:rPr>
          <w:rFonts w:cs="Tahoma"/>
          <w:lang w:val="en-US"/>
        </w:rPr>
        <w:t>i</w:t>
      </w:r>
      <w:proofErr w:type="spellEnd"/>
      <w:r w:rsidRPr="006F24C4">
        <w:rPr>
          <w:rFonts w:cs="Tahoma"/>
        </w:rPr>
        <w:t xml:space="preserve"> – Участник закупки</w:t>
      </w:r>
    </w:p>
    <w:p w:rsidR="006F24C4" w:rsidRPr="006F24C4" w:rsidRDefault="006F24C4" w:rsidP="006F24C4">
      <w:pPr>
        <w:rPr>
          <w:rFonts w:cs="Tahoma"/>
        </w:rPr>
      </w:pPr>
      <m:oMathPara>
        <m:oMath>
          <m:r>
            <w:rPr>
              <w:rFonts w:ascii="Cambria Math" w:hAnsi="Cambria Math"/>
            </w:rPr>
            <m:t xml:space="preserve"> </m:t>
          </m:r>
        </m:oMath>
      </m:oMathPara>
    </w:p>
    <w:p w:rsidR="006F24C4" w:rsidRPr="006F24C4" w:rsidRDefault="006F24C4" w:rsidP="006F24C4">
      <w:pPr>
        <w:ind w:firstLine="708"/>
        <w:rPr>
          <w:rFonts w:cs="Tahoma"/>
        </w:rPr>
      </w:pPr>
      <w:r w:rsidRPr="006F24C4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6F24C4" w:rsidRPr="006F24C4" w:rsidRDefault="006F24C4" w:rsidP="006F24C4">
      <w:pPr>
        <w:spacing w:line="360" w:lineRule="auto"/>
        <w:rPr>
          <w:rFonts w:cs="Tahoma"/>
        </w:rPr>
      </w:pPr>
      <w:r w:rsidRPr="006F24C4">
        <w:rPr>
          <w:rFonts w:cs="Tahoma"/>
        </w:rPr>
        <w:t xml:space="preserve"> </w:t>
      </w:r>
    </w:p>
    <w:p w:rsidR="006F24C4" w:rsidRPr="006F24C4" w:rsidRDefault="006F24C4" w:rsidP="006F24C4">
      <w:pPr>
        <w:ind w:firstLine="708"/>
        <w:jc w:val="both"/>
        <w:rPr>
          <w:rFonts w:cs="Tahoma"/>
          <w:szCs w:val="20"/>
        </w:rPr>
      </w:pPr>
      <w:r w:rsidRPr="006F24C4">
        <w:rPr>
          <w:rFonts w:cs="Tahoma"/>
          <w:szCs w:val="20"/>
        </w:rPr>
        <w:lastRenderedPageBreak/>
        <w:t>По подкритерию «</w:t>
      </w:r>
      <w:r w:rsidRPr="006F24C4">
        <w:rPr>
          <w:rFonts w:cs="Tahoma"/>
          <w:szCs w:val="20"/>
          <w:lang w:eastAsia="ja-JP"/>
        </w:rPr>
        <w:t>Условия оплаты</w:t>
      </w:r>
      <w:r w:rsidRPr="006F24C4">
        <w:rPr>
          <w:rFonts w:cs="Tahoma"/>
          <w:szCs w:val="20"/>
        </w:rPr>
        <w:t>» оценка производится в соответствии со следующей методикой:</w:t>
      </w:r>
    </w:p>
    <w:p w:rsidR="006F24C4" w:rsidRPr="006F24C4" w:rsidRDefault="006F24C4" w:rsidP="006F24C4">
      <w:pPr>
        <w:spacing w:line="360" w:lineRule="auto"/>
        <w:ind w:firstLine="708"/>
        <w:jc w:val="both"/>
        <w:rPr>
          <w:rFonts w:cs="Tahoma"/>
          <w:szCs w:val="20"/>
          <w:lang w:eastAsia="ja-JP"/>
        </w:rPr>
      </w:pPr>
    </w:p>
    <w:p w:rsidR="006F24C4" w:rsidRPr="006F24C4" w:rsidRDefault="006F24C4" w:rsidP="006F24C4">
      <w:pPr>
        <w:spacing w:line="360" w:lineRule="auto"/>
        <w:ind w:firstLine="708"/>
        <w:jc w:val="both"/>
        <w:rPr>
          <w:rFonts w:cs="Tahoma"/>
          <w:szCs w:val="20"/>
          <w:lang w:eastAsia="ja-JP"/>
        </w:rPr>
      </w:pPr>
      <w:r w:rsidRPr="006F24C4">
        <w:rPr>
          <w:rFonts w:cs="Tahoma"/>
          <w:szCs w:val="20"/>
          <w:lang w:eastAsia="ja-JP"/>
        </w:rPr>
        <w:t xml:space="preserve">Значения баллов для подкритерия </w:t>
      </w:r>
      <w:r w:rsidRPr="006F24C4">
        <w:rPr>
          <w:rFonts w:cs="Tahoma"/>
          <w:szCs w:val="20"/>
          <w:lang w:eastAsia="x-none"/>
        </w:rPr>
        <w:t>"</w:t>
      </w:r>
      <w:r w:rsidRPr="006F24C4">
        <w:rPr>
          <w:rFonts w:cs="Tahoma"/>
          <w:szCs w:val="20"/>
          <w:lang w:eastAsia="ja-JP"/>
        </w:rPr>
        <w:t>Условия оплаты</w:t>
      </w:r>
      <w:r w:rsidRPr="006F24C4">
        <w:rPr>
          <w:rFonts w:cs="Tahoma"/>
          <w:szCs w:val="20"/>
          <w:lang w:eastAsia="x-none"/>
        </w:rPr>
        <w:t>"</w:t>
      </w:r>
      <w:r w:rsidRPr="006F24C4">
        <w:rPr>
          <w:rFonts w:cs="Tahoma"/>
          <w:szCs w:val="20"/>
          <w:lang w:eastAsia="ja-JP"/>
        </w:rPr>
        <w:t xml:space="preserve"> определяются по </w:t>
      </w:r>
      <w:proofErr w:type="spellStart"/>
      <w:r w:rsidRPr="006F24C4">
        <w:rPr>
          <w:rFonts w:cs="Tahoma"/>
          <w:szCs w:val="20"/>
          <w:lang w:eastAsia="ja-JP"/>
        </w:rPr>
        <w:t>четырехбальной</w:t>
      </w:r>
      <w:proofErr w:type="spellEnd"/>
      <w:r w:rsidRPr="006F24C4">
        <w:rPr>
          <w:rFonts w:cs="Tahoma"/>
          <w:szCs w:val="20"/>
          <w:lang w:eastAsia="ja-JP"/>
        </w:rPr>
        <w:t xml:space="preserve"> шкале в зависимости от степени соответствия заявки Участника по данному критерию требованиям документации </w:t>
      </w:r>
      <w:r w:rsidRPr="006F24C4">
        <w:rPr>
          <w:rFonts w:cs="Tahoma"/>
          <w:szCs w:val="20"/>
          <w:lang w:eastAsia="x-none"/>
        </w:rPr>
        <w:t xml:space="preserve">о закупке </w:t>
      </w:r>
      <w:r w:rsidRPr="006F24C4">
        <w:rPr>
          <w:rFonts w:cs="Tahoma"/>
          <w:szCs w:val="20"/>
          <w:lang w:eastAsia="ja-JP"/>
        </w:rPr>
        <w:t>в соответствии со следующей шкалой:</w:t>
      </w:r>
    </w:p>
    <w:p w:rsidR="006F24C4" w:rsidRPr="006F24C4" w:rsidRDefault="006F24C4" w:rsidP="006F24C4">
      <w:pPr>
        <w:spacing w:line="360" w:lineRule="auto"/>
        <w:jc w:val="center"/>
        <w:rPr>
          <w:rFonts w:cs="Tahoma"/>
          <w:b/>
          <w:color w:val="000000"/>
        </w:rPr>
      </w:pPr>
    </w:p>
    <w:p w:rsidR="006F24C4" w:rsidRPr="006F24C4" w:rsidRDefault="006F24C4" w:rsidP="006F24C4">
      <w:pPr>
        <w:spacing w:line="360" w:lineRule="auto"/>
        <w:jc w:val="center"/>
        <w:rPr>
          <w:rFonts w:cs="Tahoma"/>
          <w:b/>
          <w:color w:val="000000"/>
        </w:rPr>
      </w:pPr>
      <w:r w:rsidRPr="006F24C4">
        <w:rPr>
          <w:rFonts w:cs="Tahoma"/>
          <w:b/>
          <w:color w:val="000000"/>
        </w:rPr>
        <w:t>Шкала оценки по подкритерию "Условия оплаты"</w:t>
      </w:r>
    </w:p>
    <w:p w:rsidR="006F24C4" w:rsidRPr="006F24C4" w:rsidRDefault="006F24C4" w:rsidP="006F24C4">
      <w:pPr>
        <w:spacing w:line="360" w:lineRule="auto"/>
        <w:jc w:val="center"/>
        <w:rPr>
          <w:rFonts w:cs="Tahoma"/>
          <w:b/>
          <w:color w:val="000000"/>
        </w:rPr>
      </w:pP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6F24C4" w:rsidRPr="006F24C4" w:rsidTr="00194B07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after="200" w:line="276" w:lineRule="auto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 xml:space="preserve">Словесное мнение эксперта об уровне характеристик заявки 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after="200" w:line="276" w:lineRule="auto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>Заносимая экспертом в оценочную форму численная оценка (баллы)</w:t>
            </w:r>
          </w:p>
        </w:tc>
      </w:tr>
      <w:tr w:rsidR="006F24C4" w:rsidRPr="006F24C4" w:rsidTr="00194B07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line="276" w:lineRule="auto"/>
              <w:rPr>
                <w:rFonts w:eastAsia="Calibri" w:cs="Tahoma"/>
                <w:lang w:eastAsia="en-US"/>
              </w:rPr>
            </w:pPr>
            <w:r w:rsidRPr="006F24C4">
              <w:rPr>
                <w:rFonts w:eastAsia="Calibri" w:cs="Tahoma"/>
                <w:lang w:eastAsia="en-US"/>
              </w:rPr>
              <w:t>Все условия по авансированию и по условиям оплаты не соответствуют условиям договора и являются хуже договорных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C4" w:rsidRPr="006F24C4" w:rsidRDefault="006F24C4" w:rsidP="006F24C4">
            <w:pPr>
              <w:spacing w:after="200" w:line="276" w:lineRule="auto"/>
              <w:jc w:val="center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>1</w:t>
            </w:r>
          </w:p>
        </w:tc>
      </w:tr>
      <w:tr w:rsidR="006F24C4" w:rsidRPr="006F24C4" w:rsidTr="00194B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line="276" w:lineRule="auto"/>
              <w:rPr>
                <w:rFonts w:eastAsia="Calibri" w:cs="Tahoma"/>
                <w:lang w:eastAsia="en-US"/>
              </w:rPr>
            </w:pPr>
            <w:r w:rsidRPr="006F24C4">
              <w:rPr>
                <w:rFonts w:cs="Tahoma"/>
              </w:rPr>
              <w:t>Одно из условий (авансирование или условие оплаты) соответствует договору, другое ухудшает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C4" w:rsidRPr="006F24C4" w:rsidRDefault="006F24C4" w:rsidP="006F24C4">
            <w:pPr>
              <w:spacing w:after="200" w:line="276" w:lineRule="auto"/>
              <w:jc w:val="center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>2</w:t>
            </w:r>
          </w:p>
        </w:tc>
      </w:tr>
      <w:tr w:rsidR="006F24C4" w:rsidRPr="006F24C4" w:rsidTr="00194B07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line="276" w:lineRule="auto"/>
              <w:rPr>
                <w:rFonts w:eastAsia="Calibri" w:cs="Tahoma"/>
                <w:lang w:eastAsia="en-US"/>
              </w:rPr>
            </w:pPr>
            <w:r w:rsidRPr="006F24C4">
              <w:rPr>
                <w:rFonts w:cs="Tahoma"/>
                <w:szCs w:val="20"/>
              </w:rPr>
              <w:t>Условия авансирования и условия оплаты соответствуют договору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C4" w:rsidRPr="006F24C4" w:rsidRDefault="006F24C4" w:rsidP="006F24C4">
            <w:pPr>
              <w:spacing w:after="200" w:line="276" w:lineRule="auto"/>
              <w:jc w:val="center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>3</w:t>
            </w:r>
          </w:p>
        </w:tc>
      </w:tr>
      <w:tr w:rsidR="006F24C4" w:rsidRPr="006F24C4" w:rsidTr="00194B07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F24C4" w:rsidRPr="006F24C4" w:rsidRDefault="006F24C4" w:rsidP="006F24C4">
            <w:pPr>
              <w:spacing w:line="276" w:lineRule="auto"/>
              <w:rPr>
                <w:rFonts w:eastAsia="Calibri" w:cs="Tahoma"/>
                <w:lang w:eastAsia="en-US"/>
              </w:rPr>
            </w:pPr>
            <w:r w:rsidRPr="006F24C4">
              <w:rPr>
                <w:rFonts w:cs="Tahoma"/>
                <w:szCs w:val="20"/>
              </w:rPr>
              <w:t>Отсрочка оплаты и условия авансирования предложены на более выгодных условиях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C4" w:rsidRPr="006F24C4" w:rsidRDefault="006F24C4" w:rsidP="006F24C4">
            <w:pPr>
              <w:spacing w:after="200" w:line="276" w:lineRule="auto"/>
              <w:jc w:val="center"/>
              <w:rPr>
                <w:rFonts w:eastAsia="Calibri" w:cs="Tahoma"/>
                <w:color w:val="000000"/>
                <w:szCs w:val="20"/>
                <w:lang w:eastAsia="en-US"/>
              </w:rPr>
            </w:pPr>
            <w:r w:rsidRPr="006F24C4">
              <w:rPr>
                <w:rFonts w:eastAsia="Calibri" w:cs="Tahoma"/>
                <w:b/>
                <w:bCs/>
                <w:color w:val="000000"/>
                <w:szCs w:val="20"/>
                <w:lang w:eastAsia="en-US"/>
              </w:rPr>
              <w:t>4</w:t>
            </w:r>
          </w:p>
        </w:tc>
      </w:tr>
    </w:tbl>
    <w:p w:rsidR="006F24C4" w:rsidRPr="006F24C4" w:rsidRDefault="006F24C4" w:rsidP="006F24C4">
      <w:pPr>
        <w:spacing w:line="360" w:lineRule="auto"/>
        <w:jc w:val="center"/>
        <w:rPr>
          <w:rFonts w:cs="Tahoma"/>
          <w:b/>
          <w:color w:val="000000"/>
        </w:rPr>
      </w:pPr>
    </w:p>
    <w:p w:rsidR="006F24C4" w:rsidRPr="006F24C4" w:rsidRDefault="006F24C4" w:rsidP="006F24C4">
      <w:pPr>
        <w:spacing w:line="360" w:lineRule="auto"/>
        <w:jc w:val="center"/>
        <w:rPr>
          <w:rFonts w:cs="Tahoma"/>
          <w:b/>
          <w:color w:val="000000"/>
        </w:rPr>
      </w:pPr>
    </w:p>
    <w:p w:rsidR="006F24C4" w:rsidRPr="006F24C4" w:rsidRDefault="006F24C4" w:rsidP="006F24C4">
      <w:pPr>
        <w:spacing w:line="360" w:lineRule="auto"/>
        <w:rPr>
          <w:rFonts w:cs="Tahoma"/>
        </w:rPr>
      </w:pPr>
    </w:p>
    <w:p w:rsidR="006F24C4" w:rsidRPr="006F24C4" w:rsidRDefault="006F24C4" w:rsidP="006F24C4">
      <w:pPr>
        <w:rPr>
          <w:rFonts w:cs="Tahoma"/>
          <w:b/>
        </w:rPr>
      </w:pPr>
    </w:p>
    <w:p w:rsidR="006F24C4" w:rsidRPr="006F24C4" w:rsidRDefault="006F24C4" w:rsidP="006F24C4">
      <w:pPr>
        <w:spacing w:before="120" w:after="120"/>
        <w:jc w:val="both"/>
        <w:rPr>
          <w:b/>
          <w:bCs/>
          <w:lang w:eastAsia="en-US"/>
        </w:rPr>
      </w:pPr>
      <w:r w:rsidRPr="006F24C4">
        <w:rPr>
          <w:b/>
          <w:bCs/>
          <w:lang w:eastAsia="en-US"/>
        </w:rPr>
        <w:t>Методика расчета интегральной оценки общей предпочтительности заявки.</w:t>
      </w:r>
    </w:p>
    <w:p w:rsidR="006F24C4" w:rsidRPr="006F24C4" w:rsidRDefault="006F24C4" w:rsidP="006F24C4">
      <w:pPr>
        <w:ind w:firstLine="709"/>
        <w:jc w:val="both"/>
        <w:rPr>
          <w:bCs/>
          <w:lang w:eastAsia="ar-SA"/>
        </w:rPr>
      </w:pPr>
      <w:r w:rsidRPr="006F24C4">
        <w:rPr>
          <w:bCs/>
          <w:lang w:eastAsia="ar-SA"/>
        </w:rPr>
        <w:t xml:space="preserve">Полученные оценки по каждому подкритерию применяются для расчета интегральной оценки общей предпочтительности заявки участника.  </w:t>
      </w:r>
    </w:p>
    <w:p w:rsidR="006F24C4" w:rsidRPr="006F24C4" w:rsidRDefault="006F24C4" w:rsidP="006F24C4">
      <w:pPr>
        <w:ind w:firstLine="709"/>
        <w:jc w:val="both"/>
        <w:rPr>
          <w:bCs/>
          <w:lang w:eastAsia="ar-SA"/>
        </w:rPr>
      </w:pPr>
      <w:r w:rsidRPr="006F24C4">
        <w:rPr>
          <w:rFonts w:cs="Tahoma"/>
          <w:szCs w:val="20"/>
          <w:lang w:eastAsia="en-US"/>
        </w:rPr>
        <w:t>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</w:t>
      </w:r>
      <w:r w:rsidRPr="006F24C4">
        <w:rPr>
          <w:bCs/>
          <w:lang w:eastAsia="ar-SA"/>
        </w:rPr>
        <w:t>: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jc w:val="center"/>
        <w:rPr>
          <w:rFonts w:cs="Tahoma"/>
        </w:rPr>
      </w:pPr>
      <w:proofErr w:type="spellStart"/>
      <w:r w:rsidRPr="006F24C4">
        <w:rPr>
          <w:rFonts w:cs="Tahoma"/>
        </w:rPr>
        <w:t>Ri</w:t>
      </w:r>
      <w:proofErr w:type="spellEnd"/>
      <w:r w:rsidRPr="006F24C4">
        <w:rPr>
          <w:rFonts w:cs="Tahoma"/>
        </w:rPr>
        <w:t xml:space="preserve"> = V1*(К1*V1.1+К2*V2)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jc w:val="center"/>
        <w:rPr>
          <w:rFonts w:cs="Tahoma"/>
        </w:rPr>
      </w:pP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ab/>
        <w:t>где: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</w:r>
      <w:proofErr w:type="spellStart"/>
      <w:r w:rsidRPr="006F24C4">
        <w:rPr>
          <w:rFonts w:cs="Tahoma"/>
        </w:rPr>
        <w:t>Ri</w:t>
      </w:r>
      <w:proofErr w:type="spellEnd"/>
      <w:r w:rsidRPr="006F24C4">
        <w:rPr>
          <w:rFonts w:cs="Tahoma"/>
        </w:rPr>
        <w:t xml:space="preserve"> - общий рейтинг предпочтительности i-й заявки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  <w:t>V1 - весовой коэффициент критерия "Коммерческие условия заявки"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  <w:t xml:space="preserve">К1 - бальная оценка по подкритерию "Стоимость предложения", без учета весовых коэффициентов 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  <w:t>V1.1 - весовой коэффициент подкритерия "Стоимость предложения"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  <w:t xml:space="preserve">К2 - бальная оценка по подкритерию "Условия оплаты", без учета весовых коэффициентов </w:t>
      </w:r>
    </w:p>
    <w:p w:rsidR="006F24C4" w:rsidRPr="006F24C4" w:rsidRDefault="006F24C4" w:rsidP="006F24C4">
      <w:pPr>
        <w:shd w:val="clear" w:color="auto" w:fill="FFFFFF"/>
        <w:ind w:left="780" w:right="159"/>
        <w:contextualSpacing/>
        <w:rPr>
          <w:rFonts w:cs="Tahoma"/>
        </w:rPr>
      </w:pPr>
      <w:r w:rsidRPr="006F24C4">
        <w:rPr>
          <w:rFonts w:cs="Tahoma"/>
        </w:rPr>
        <w:t>•</w:t>
      </w:r>
      <w:r w:rsidRPr="006F24C4">
        <w:rPr>
          <w:rFonts w:cs="Tahoma"/>
        </w:rPr>
        <w:tab/>
        <w:t>V2 - весовой коэффициент подкритерия "Условия оплаты"</w:t>
      </w:r>
    </w:p>
    <w:p w:rsidR="006F24C4" w:rsidRPr="006F24C4" w:rsidRDefault="006F24C4" w:rsidP="006F24C4">
      <w:pPr>
        <w:ind w:firstLine="708"/>
        <w:rPr>
          <w:rFonts w:cs="Tahoma"/>
        </w:rPr>
      </w:pPr>
    </w:p>
    <w:p w:rsidR="006F24C4" w:rsidRDefault="006F24C4" w:rsidP="00963258">
      <w:pPr>
        <w:pStyle w:val="a8"/>
      </w:pPr>
    </w:p>
    <w:p w:rsidR="00A20FAB" w:rsidRPr="006F24C4" w:rsidRDefault="00C878E3" w:rsidP="006F24C4">
      <w:pPr>
        <w:spacing w:after="200" w:line="276" w:lineRule="auto"/>
        <w:contextualSpacing/>
        <w:jc w:val="both"/>
        <w:rPr>
          <w:rFonts w:cs="Tahoma"/>
          <w:szCs w:val="20"/>
          <w:lang w:eastAsia="en-US"/>
        </w:rPr>
      </w:pPr>
      <w:bookmarkStart w:id="0" w:name="_GoBack"/>
      <w:bookmarkEnd w:id="0"/>
    </w:p>
    <w:sectPr w:rsidR="00A20FAB" w:rsidRPr="006F24C4" w:rsidSect="009632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E3" w:rsidRDefault="00C878E3" w:rsidP="00963258">
      <w:r>
        <w:separator/>
      </w:r>
    </w:p>
  </w:endnote>
  <w:endnote w:type="continuationSeparator" w:id="0">
    <w:p w:rsidR="00C878E3" w:rsidRDefault="00C878E3" w:rsidP="0096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 w:rsidP="00963258">
    <w:pPr>
      <w:pStyle w:val="af1"/>
    </w:pPr>
  </w:p>
  <w:p w:rsidR="00963258" w:rsidRPr="00963258" w:rsidRDefault="00963258" w:rsidP="00963258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E3" w:rsidRDefault="00C878E3" w:rsidP="00963258">
      <w:r>
        <w:separator/>
      </w:r>
    </w:p>
  </w:footnote>
  <w:footnote w:type="continuationSeparator" w:id="0">
    <w:p w:rsidR="00C878E3" w:rsidRDefault="00C878E3" w:rsidP="00963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 w:rsidP="00963258">
    <w:pPr>
      <w:pStyle w:val="af"/>
    </w:pPr>
  </w:p>
  <w:p w:rsidR="00963258" w:rsidRPr="00963258" w:rsidRDefault="00963258" w:rsidP="00963258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58" w:rsidRDefault="00963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1C5B"/>
    <w:multiLevelType w:val="multilevel"/>
    <w:tmpl w:val="23525FAA"/>
    <w:lvl w:ilvl="0">
      <w:start w:val="1"/>
      <w:numFmt w:val="decimal"/>
      <w:lvlText w:val="%1."/>
      <w:lvlJc w:val="left"/>
      <w:pPr>
        <w:ind w:left="1440" w:hanging="360"/>
      </w:pPr>
      <w:rPr>
        <w:rFonts w:ascii="Tahoma" w:eastAsia="Times New Roman" w:hAnsi="Tahoma" w:cs="Tahoma"/>
        <w:b/>
      </w:rPr>
    </w:lvl>
    <w:lvl w:ilvl="1">
      <w:start w:val="2"/>
      <w:numFmt w:val="decimal"/>
      <w:isLgl/>
      <w:lvlText w:val="%1.%2"/>
      <w:lvlJc w:val="left"/>
      <w:pPr>
        <w:ind w:left="1515" w:hanging="435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cs="Times New Roman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3DF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C05F9"/>
    <w:multiLevelType w:val="hybridMultilevel"/>
    <w:tmpl w:val="9D86CEF4"/>
    <w:lvl w:ilvl="0" w:tplc="2A729D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F6D55A6"/>
    <w:multiLevelType w:val="hybridMultilevel"/>
    <w:tmpl w:val="565429BA"/>
    <w:lvl w:ilvl="0" w:tplc="47C6DE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5F2B5F"/>
    <w:multiLevelType w:val="hybridMultilevel"/>
    <w:tmpl w:val="88B86A74"/>
    <w:lvl w:ilvl="0" w:tplc="74C647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40E133F"/>
    <w:multiLevelType w:val="hybridMultilevel"/>
    <w:tmpl w:val="20E424A0"/>
    <w:lvl w:ilvl="0" w:tplc="919C88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E236A50"/>
    <w:multiLevelType w:val="hybridMultilevel"/>
    <w:tmpl w:val="A7EEEEB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D787E5B"/>
    <w:multiLevelType w:val="hybridMultilevel"/>
    <w:tmpl w:val="CF2ED2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58"/>
    <w:rsid w:val="00405C55"/>
    <w:rsid w:val="00543DD0"/>
    <w:rsid w:val="006B37BD"/>
    <w:rsid w:val="006F24C4"/>
    <w:rsid w:val="007841DB"/>
    <w:rsid w:val="00963258"/>
    <w:rsid w:val="009725D5"/>
    <w:rsid w:val="00BF090B"/>
    <w:rsid w:val="00C878E3"/>
    <w:rsid w:val="00CF6079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E4013"/>
  <w15:chartTrackingRefBased/>
  <w15:docId w15:val="{F4195D3A-582D-41F6-9D7B-5C80E61D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2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63258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963258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963258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96325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Num Bullet 1,Bullet Number,Индексы,Заголовок_3,Bullet_IRAO,Мой Список,AC List 01,Подпись рисунка,Table-Normal,RSHB_Table-Normal,List Paragraph1,Абзац списка литеральный,it_List1,Bullet List,FooterText,numbered,Paragraphe de liste1,lp1,та"/>
    <w:basedOn w:val="a"/>
    <w:link w:val="a4"/>
    <w:uiPriority w:val="34"/>
    <w:qFormat/>
    <w:rsid w:val="00963258"/>
    <w:pPr>
      <w:spacing w:after="200"/>
      <w:ind w:left="720" w:firstLine="360"/>
      <w:contextualSpacing/>
      <w:jc w:val="both"/>
    </w:pPr>
    <w:rPr>
      <w:lang w:eastAsia="en-US"/>
    </w:rPr>
  </w:style>
  <w:style w:type="character" w:styleId="a5">
    <w:name w:val="annotation reference"/>
    <w:basedOn w:val="a0"/>
    <w:uiPriority w:val="99"/>
    <w:semiHidden/>
    <w:unhideWhenUsed/>
    <w:rsid w:val="009632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3258"/>
    <w:rPr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3258"/>
    <w:rPr>
      <w:rFonts w:ascii="Tahoma" w:eastAsia="Times New Roman" w:hAnsi="Tahoma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rsid w:val="00963258"/>
    <w:rPr>
      <w:szCs w:val="20"/>
    </w:rPr>
  </w:style>
  <w:style w:type="character" w:customStyle="1" w:styleId="a9">
    <w:name w:val="Текст сноски Знак"/>
    <w:basedOn w:val="a0"/>
    <w:link w:val="a8"/>
    <w:rsid w:val="00963258"/>
    <w:rPr>
      <w:rFonts w:ascii="Tahoma" w:eastAsia="Times New Roman" w:hAnsi="Tahoma" w:cs="Times New Roman"/>
      <w:sz w:val="20"/>
      <w:szCs w:val="20"/>
      <w:lang w:eastAsia="ru-RU"/>
    </w:rPr>
  </w:style>
  <w:style w:type="character" w:styleId="aa">
    <w:name w:val="footnote reference"/>
    <w:rsid w:val="00963258"/>
    <w:rPr>
      <w:vertAlign w:val="superscript"/>
    </w:rPr>
  </w:style>
  <w:style w:type="paragraph" w:customStyle="1" w:styleId="ab">
    <w:name w:val="Пункт"/>
    <w:basedOn w:val="a"/>
    <w:link w:val="11"/>
    <w:rsid w:val="00963258"/>
    <w:pPr>
      <w:tabs>
        <w:tab w:val="num" w:pos="2269"/>
      </w:tabs>
      <w:spacing w:line="360" w:lineRule="auto"/>
      <w:ind w:left="2269" w:hanging="1134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c">
    <w:name w:val="Подпункт"/>
    <w:basedOn w:val="ab"/>
    <w:rsid w:val="00963258"/>
    <w:pPr>
      <w:tabs>
        <w:tab w:val="clear" w:pos="2269"/>
        <w:tab w:val="num" w:pos="360"/>
      </w:tabs>
      <w:ind w:left="1134"/>
    </w:pPr>
  </w:style>
  <w:style w:type="paragraph" w:customStyle="1" w:styleId="ad">
    <w:name w:val="Подподпункт"/>
    <w:basedOn w:val="ac"/>
    <w:rsid w:val="00963258"/>
    <w:pPr>
      <w:ind w:left="1701" w:hanging="567"/>
    </w:pPr>
  </w:style>
  <w:style w:type="character" w:customStyle="1" w:styleId="11">
    <w:name w:val="Пункт Знак1"/>
    <w:link w:val="ab"/>
    <w:rsid w:val="00963258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e">
    <w:name w:val="Placeholder Text"/>
    <w:basedOn w:val="a0"/>
    <w:uiPriority w:val="99"/>
    <w:semiHidden/>
    <w:rsid w:val="00963258"/>
    <w:rPr>
      <w:color w:val="808080"/>
    </w:rPr>
  </w:style>
  <w:style w:type="paragraph" w:styleId="af">
    <w:name w:val="header"/>
    <w:basedOn w:val="a"/>
    <w:link w:val="af0"/>
    <w:uiPriority w:val="99"/>
    <w:unhideWhenUsed/>
    <w:rsid w:val="0096325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63258"/>
    <w:rPr>
      <w:rFonts w:ascii="Tahoma" w:eastAsia="Times New Roman" w:hAnsi="Tahoma" w:cs="Times New Roman"/>
      <w:sz w:val="20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96325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63258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a4">
    <w:name w:val="Абзац списка Знак"/>
    <w:aliases w:val="Num Bullet 1 Знак,Bullet Number Знак,Индексы Знак,Заголовок_3 Знак,Bullet_IRAO Знак,Мой Список Знак,AC List 01 Знак,Подпись рисунка Знак,Table-Normal Знак,RSHB_Table-Normal Знак,List Paragraph1 Знак,Абзац списка литеральный Знак"/>
    <w:link w:val="a3"/>
    <w:uiPriority w:val="34"/>
    <w:locked/>
    <w:rsid w:val="00405C55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2023-07-05T05:32:00Z</dcterms:created>
  <dcterms:modified xsi:type="dcterms:W3CDTF">2023-08-03T06:47:00Z</dcterms:modified>
</cp:coreProperties>
</file>