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861" w:rsidRPr="0018740D" w:rsidRDefault="00292861" w:rsidP="00292861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292861" w:rsidRDefault="00292861" w:rsidP="00292861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14.10</w:t>
      </w:r>
      <w:r w:rsidRPr="00937ED3">
        <w:rPr>
          <w:rFonts w:ascii="Tahoma" w:hAnsi="Tahoma" w:cs="Tahoma"/>
          <w:sz w:val="20"/>
        </w:rPr>
        <w:t>.201</w:t>
      </w:r>
      <w:r>
        <w:rPr>
          <w:rFonts w:ascii="Tahoma" w:hAnsi="Tahoma" w:cs="Tahoma"/>
          <w:sz w:val="20"/>
        </w:rPr>
        <w:t>6</w:t>
      </w:r>
      <w:r w:rsidRPr="00937ED3">
        <w:rPr>
          <w:rFonts w:ascii="Tahoma" w:hAnsi="Tahoma" w:cs="Tahoma"/>
          <w:sz w:val="20"/>
        </w:rPr>
        <w:t xml:space="preserve">г.  </w:t>
      </w:r>
    </w:p>
    <w:p w:rsidR="00292861" w:rsidRPr="00937ED3" w:rsidRDefault="00292861" w:rsidP="00292861">
      <w:pPr>
        <w:jc w:val="left"/>
        <w:rPr>
          <w:rFonts w:ascii="Tahoma" w:hAnsi="Tahoma" w:cs="Tahoma"/>
          <w:sz w:val="20"/>
        </w:rPr>
      </w:pP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 xml:space="preserve">   Заказчик, ООО «</w:t>
      </w:r>
      <w:proofErr w:type="spellStart"/>
      <w:r>
        <w:rPr>
          <w:rFonts w:ascii="Tahoma" w:hAnsi="Tahoma" w:cs="Tahoma"/>
          <w:sz w:val="20"/>
        </w:rPr>
        <w:t>ЕЭС.Гарант</w:t>
      </w:r>
      <w:proofErr w:type="spellEnd"/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</w:t>
      </w:r>
      <w:r w:rsidRPr="00AF02BF">
        <w:rPr>
          <w:rFonts w:ascii="Tahoma" w:hAnsi="Tahoma" w:cs="Tahoma"/>
          <w:sz w:val="20"/>
          <w:szCs w:val="20"/>
        </w:rPr>
        <w:t xml:space="preserve">холдинга КЭС» - B2B-КЭС (сайт </w:t>
      </w:r>
      <w:hyperlink r:id="rId5" w:history="1">
        <w:r w:rsidRPr="00AF02BF">
          <w:rPr>
            <w:rStyle w:val="a7"/>
            <w:rFonts w:ascii="Tahoma" w:hAnsi="Tahoma" w:cs="Tahoma"/>
            <w:sz w:val="20"/>
            <w:szCs w:val="20"/>
          </w:rPr>
          <w:t>www.b2b-energo.ru</w:t>
        </w:r>
      </w:hyperlink>
      <w:r w:rsidRPr="00AF02BF">
        <w:rPr>
          <w:rFonts w:ascii="Tahoma" w:hAnsi="Tahoma" w:cs="Tahoma"/>
          <w:sz w:val="20"/>
          <w:szCs w:val="20"/>
        </w:rPr>
        <w:t xml:space="preserve"> ) закупка </w:t>
      </w:r>
      <w:r w:rsidRPr="0041681B">
        <w:rPr>
          <w:rFonts w:ascii="Tahoma" w:hAnsi="Tahoma" w:cs="Tahoma"/>
          <w:b/>
          <w:sz w:val="20"/>
          <w:szCs w:val="20"/>
        </w:rPr>
        <w:t>№722596</w:t>
      </w:r>
      <w:r w:rsidRPr="00AF02B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AF02BF">
        <w:rPr>
          <w:rFonts w:ascii="Tahoma" w:hAnsi="Tahoma" w:cs="Tahoma"/>
          <w:iCs/>
          <w:sz w:val="20"/>
          <w:szCs w:val="20"/>
        </w:rPr>
        <w:t xml:space="preserve">: </w:t>
      </w:r>
      <w:r w:rsidRPr="00AF02BF">
        <w:rPr>
          <w:rFonts w:ascii="Tahoma" w:hAnsi="Tahoma" w:cs="Tahoma"/>
          <w:sz w:val="20"/>
          <w:szCs w:val="20"/>
        </w:rPr>
        <w:t>«</w:t>
      </w:r>
      <w:r w:rsidRPr="00AF02BF">
        <w:rPr>
          <w:rFonts w:ascii="Tahoma" w:hAnsi="Tahoma" w:cs="Tahoma"/>
          <w:b/>
          <w:sz w:val="20"/>
          <w:szCs w:val="20"/>
        </w:rPr>
        <w:t>Выполнение комплекса работ по установке узлов учета тепловой энергии и теплоносителя (УУТЭ) для нужд ООО «</w:t>
      </w:r>
      <w:proofErr w:type="spellStart"/>
      <w:r w:rsidRPr="00AF02BF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AF02BF">
        <w:rPr>
          <w:rFonts w:ascii="Tahoma" w:hAnsi="Tahoma" w:cs="Tahoma"/>
          <w:b/>
          <w:sz w:val="20"/>
          <w:szCs w:val="20"/>
        </w:rPr>
        <w:t>»: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№1: «Выполнение комплекса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№2: «Выполнение комплекса работ по установке узлов учета тепловой энергии и теплоносителя (УУТЭ) на объектах, находящихся в г. 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№3: «Выполнение комплекса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№4: «Выполнение компле</w:t>
      </w:r>
      <w:bookmarkStart w:id="0" w:name="_GoBack"/>
      <w:bookmarkEnd w:id="0"/>
      <w:r w:rsidRPr="00AF02BF">
        <w:rPr>
          <w:rFonts w:ascii="Tahoma" w:hAnsi="Tahoma" w:cs="Tahoma"/>
          <w:b/>
          <w:sz w:val="20"/>
          <w:szCs w:val="20"/>
        </w:rPr>
        <w:t>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№5: «Выполнение комплекса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№6: «Выполнение комплекса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№7: «Выполнение комплекса работ по установке узлов учета тепловой энергии и теплоносителя (УУТЭ) на объектах, находящихся в г. Самаре»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№8: «Выполнение комплекса работ по установке узлов учета тепловой энергии и теплоносителя (УУТЭ) на объектах, находящихся в г. Ульяновске»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№9: «Выполнение комплекса работ по установке узлов учета тепловой энергии и теплоносителя (УУТЭ) на объектах, находящихся в г. Ижевске»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№10: «Выполнение комплекса работ по установке узлов учета тепловой энергии и теплоносителя (УУТЭ) на объектах, находящихся в г. Кирове, Кирово-Чепецке»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 xml:space="preserve">Лот №11: «Выполнение комплекса работ по установке узлов учета тепловой энергии и теплоносителя (УУТЭ) на объектах, находящихся в г. Перми, Чайковском, </w:t>
      </w:r>
      <w:proofErr w:type="spellStart"/>
      <w:r w:rsidRPr="00AF02BF">
        <w:rPr>
          <w:rFonts w:ascii="Tahoma" w:hAnsi="Tahoma" w:cs="Tahoma"/>
          <w:b/>
          <w:sz w:val="20"/>
          <w:szCs w:val="20"/>
        </w:rPr>
        <w:t>Губахе</w:t>
      </w:r>
      <w:proofErr w:type="spellEnd"/>
      <w:r w:rsidRPr="00AF02BF">
        <w:rPr>
          <w:rFonts w:ascii="Tahoma" w:hAnsi="Tahoma" w:cs="Tahoma"/>
          <w:b/>
          <w:sz w:val="20"/>
          <w:szCs w:val="20"/>
        </w:rPr>
        <w:t>, Березниках»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№12: «Выполнение комплекса работ по установке узлов учета тепловой энергии и теплоносителя (УУТЭ) на объектах, находящихся в г. Екатеринбурге, Каменск-Уральске, Первоуральске»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№13: «Выполнение комплекса работ по установке узлов учета тепловой энергии и теплоносителя (УУТЭ) на объектах</w:t>
      </w:r>
      <w:r>
        <w:rPr>
          <w:rFonts w:ascii="Tahoma" w:hAnsi="Tahoma" w:cs="Tahoma"/>
          <w:b/>
          <w:sz w:val="20"/>
          <w:szCs w:val="20"/>
        </w:rPr>
        <w:t>, находящихся в г. Сыктывкаре, У</w:t>
      </w:r>
      <w:r w:rsidRPr="00AF02BF">
        <w:rPr>
          <w:rFonts w:ascii="Tahoma" w:hAnsi="Tahoma" w:cs="Tahoma"/>
          <w:b/>
          <w:sz w:val="20"/>
          <w:szCs w:val="20"/>
        </w:rPr>
        <w:t>хте, Сосногорске»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№14: «Выполнение комплекса работ по установке узлов учета тепловой энергии и теплоносителя (УУТЭ) на объектах, находящихся в г. Саратове, Энгельсе, Балаково»</w:t>
      </w:r>
    </w:p>
    <w:p w:rsidR="00292861" w:rsidRPr="00AF02BF" w:rsidRDefault="00292861" w:rsidP="00292861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AF02BF">
        <w:rPr>
          <w:rFonts w:ascii="Tahoma" w:hAnsi="Tahoma" w:cs="Tahoma"/>
          <w:b/>
          <w:sz w:val="20"/>
          <w:szCs w:val="20"/>
        </w:rPr>
        <w:t>Лот №15: «Выполнение комплекса работ по установке узлов учета тепловой энергии и теплоносителя (УУТЭ) на объектах, находящихся в г. Орске»</w:t>
      </w:r>
    </w:p>
    <w:p w:rsidR="00292861" w:rsidRPr="00F87DCF" w:rsidRDefault="00292861" w:rsidP="00292861">
      <w:pPr>
        <w:pStyle w:val="a0"/>
        <w:numPr>
          <w:ilvl w:val="0"/>
          <w:numId w:val="0"/>
        </w:numPr>
        <w:spacing w:line="240" w:lineRule="auto"/>
        <w:ind w:left="567" w:firstLine="567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b/>
          <w:sz w:val="20"/>
        </w:rPr>
        <w:t xml:space="preserve">Лот №16: «Выполнение комплекса работ по установке узлов учета тепловой энергии и теплоносителя (УУТЭ) на объектах, находящихся в г. </w:t>
      </w:r>
      <w:r w:rsidRPr="00F87DCF">
        <w:rPr>
          <w:rFonts w:ascii="Tahoma" w:hAnsi="Tahoma" w:cs="Tahoma"/>
          <w:b/>
          <w:sz w:val="20"/>
        </w:rPr>
        <w:t>Орске»</w:t>
      </w:r>
      <w:r w:rsidRPr="00F87DCF">
        <w:rPr>
          <w:rFonts w:ascii="Tahoma" w:hAnsi="Tahoma" w:cs="Tahoma"/>
          <w:sz w:val="20"/>
        </w:rPr>
        <w:t>.</w:t>
      </w:r>
    </w:p>
    <w:p w:rsidR="00292861" w:rsidRPr="00AF02BF" w:rsidRDefault="00292861" w:rsidP="00292861">
      <w:pPr>
        <w:pStyle w:val="a0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  <w:highlight w:val="yellow"/>
        </w:rPr>
      </w:pP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№2: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№3: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№4: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№5: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№6: 78 412 000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№7: 84 996 000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№8: 34 549 000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№9: 36 833 000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№10: 55 906 000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lastRenderedPageBreak/>
        <w:t>Начальная (</w:t>
      </w:r>
      <w:r>
        <w:rPr>
          <w:rFonts w:ascii="Tahoma" w:hAnsi="Tahoma" w:cs="Tahoma"/>
          <w:sz w:val="20"/>
        </w:rPr>
        <w:t>максимальная)</w:t>
      </w:r>
      <w:r w:rsidRPr="00AF02BF">
        <w:rPr>
          <w:rFonts w:ascii="Tahoma" w:hAnsi="Tahoma" w:cs="Tahoma"/>
          <w:sz w:val="20"/>
        </w:rPr>
        <w:t xml:space="preserve"> стоимость лота №11: 48 061 000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№12: 114 588 000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№13: 38 588 000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№14: 24 869 000 рублей с учетом НДС.</w:t>
      </w:r>
    </w:p>
    <w:p w:rsidR="00292861" w:rsidRPr="00AF02BF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№15: 68 436 000 рублей с учетом НДС.</w:t>
      </w:r>
    </w:p>
    <w:p w:rsidR="00292861" w:rsidRPr="001249BA" w:rsidRDefault="00292861" w:rsidP="0029286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</w:t>
      </w:r>
      <w:r>
        <w:rPr>
          <w:rFonts w:ascii="Tahoma" w:hAnsi="Tahoma" w:cs="Tahoma"/>
          <w:sz w:val="20"/>
        </w:rPr>
        <w:t>6</w:t>
      </w:r>
      <w:r w:rsidRPr="00AF02BF">
        <w:rPr>
          <w:rFonts w:ascii="Tahoma" w:hAnsi="Tahoma" w:cs="Tahoma"/>
          <w:sz w:val="20"/>
        </w:rPr>
        <w:t>: 69 715 000 рублей с учетом НДС.</w:t>
      </w:r>
    </w:p>
    <w:p w:rsidR="00292861" w:rsidRDefault="00292861" w:rsidP="00292861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</w:p>
    <w:p w:rsidR="00292861" w:rsidRPr="009F6C3E" w:rsidRDefault="00292861" w:rsidP="00292861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292861" w:rsidRDefault="00292861" w:rsidP="00292861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292861" w:rsidRPr="00E82C79" w:rsidRDefault="00292861" w:rsidP="00292861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7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292861" w:rsidRPr="00F12F43" w:rsidRDefault="00292861" w:rsidP="00292861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7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7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292861" w:rsidRPr="00042C09" w:rsidRDefault="00292861" w:rsidP="00292861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292861" w:rsidRDefault="00292861" w:rsidP="00292861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 w:rsidSect="0029286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861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61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AC848-F870-4E76-A0F6-49A862AC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928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292861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uiPriority w:val="9"/>
    <w:qFormat/>
    <w:rsid w:val="00292861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29286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29286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292861"/>
    <w:rPr>
      <w:color w:val="0000FF"/>
      <w:u w:val="single"/>
    </w:rPr>
  </w:style>
  <w:style w:type="paragraph" w:customStyle="1" w:styleId="a0">
    <w:name w:val="Пункт"/>
    <w:basedOn w:val="a3"/>
    <w:link w:val="11"/>
    <w:rsid w:val="00292861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292861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292861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292861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29286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2016-10-14T09:05:00Z</dcterms:created>
  <dcterms:modified xsi:type="dcterms:W3CDTF">2016-10-14T09:06:00Z</dcterms:modified>
</cp:coreProperties>
</file>