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A10" w:rsidRDefault="00B14D47" w:rsidP="00B14D47">
      <w:pPr>
        <w:pStyle w:val="a7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 xml:space="preserve">Приложение №3 к Документации </w:t>
      </w:r>
    </w:p>
    <w:p w:rsidR="00B14D47" w:rsidRPr="00673F56" w:rsidRDefault="00B14D47" w:rsidP="00B14D47">
      <w:pPr>
        <w:pStyle w:val="a7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 xml:space="preserve">по </w:t>
      </w:r>
      <w:r w:rsidRPr="0072419E">
        <w:rPr>
          <w:i/>
        </w:rPr>
        <w:t>открытому запросу предложений</w:t>
      </w: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B14D47">
      <w:pPr>
        <w:pStyle w:val="a7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и оценки заявок Участников закупки</w:t>
      </w: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EC5D75">
      <w:pPr>
        <w:pStyle w:val="a7"/>
        <w:numPr>
          <w:ilvl w:val="0"/>
          <w:numId w:val="6"/>
        </w:numPr>
        <w:spacing w:after="0" w:line="276" w:lineRule="auto"/>
        <w:rPr>
          <w:b/>
        </w:rPr>
      </w:pPr>
      <w:r w:rsidRPr="00F475DA">
        <w:rPr>
          <w:b/>
        </w:rPr>
        <w:t>Критерии отбора</w:t>
      </w:r>
    </w:p>
    <w:p w:rsidR="000A0504" w:rsidRDefault="000A0504" w:rsidP="000A0504">
      <w:pPr>
        <w:spacing w:line="276" w:lineRule="auto"/>
        <w:rPr>
          <w:b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716"/>
        <w:gridCol w:w="5812"/>
      </w:tblGrid>
      <w:tr w:rsidR="0029590A" w:rsidRPr="004F2AD0" w:rsidTr="0029590A">
        <w:trPr>
          <w:trHeight w:val="6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№ п/п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  <w:b/>
              </w:rPr>
              <w:t>Наименование критерия/подкритерия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Наименование оцениваемых сведений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1.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Статус Участника закупки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Правоспособность Участника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Документы, подтверждающие правоспособность Участника: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Выписка из Единого государственного реестра юридических лиц (ЕГРЮЛ), Единого государственного реестра индивидуальных предпринимателей (ЕГРИП) выданная территориальным органом ФНС России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форме), не ранее чем за 1 (один) месяц до дня размещения в ЕИС извещения или засвидетельствованную в нотариальном порядке копию такой выписки,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копии документов, удостоверяющих личность (для иного физического лица);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Копия устава в действующей редакции со всеми изменениями и дополнениями, заверенную Участником закупки ;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Свидетельство о государственной регистрации юридического лица/ свидетельство о государственной регистрации физического лица в качестве индивидуального предпринимателя (копия, заверенная Участником закупки);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Свидетельство о постановке на учет в налоговом органе по месту нахождения и присвоении ИНН/КПП (копия, заверенная Участником закупки)</w:t>
            </w:r>
          </w:p>
        </w:tc>
      </w:tr>
      <w:tr w:rsidR="0029590A" w:rsidRPr="004F2AD0" w:rsidTr="0029590A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1.2.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Квалификация Участника (Подрядчика)</w:t>
            </w:r>
          </w:p>
          <w:p w:rsidR="0029590A" w:rsidRPr="004F2AD0" w:rsidRDefault="0029590A" w:rsidP="000E053A">
            <w:pPr>
              <w:rPr>
                <w:rFonts w:cs="Tahoma"/>
              </w:rPr>
            </w:pPr>
          </w:p>
        </w:tc>
      </w:tr>
      <w:tr w:rsidR="0029590A" w:rsidRPr="004F2AD0" w:rsidTr="0029590A">
        <w:trPr>
          <w:trHeight w:val="41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1.2.1</w:t>
            </w:r>
          </w:p>
        </w:tc>
        <w:tc>
          <w:tcPr>
            <w:tcW w:w="3716" w:type="dxa"/>
          </w:tcPr>
          <w:p w:rsidR="0029590A" w:rsidRPr="004F2AD0" w:rsidRDefault="0066649E" w:rsidP="000E053A">
            <w:pPr>
              <w:rPr>
                <w:rFonts w:cs="Tahoma"/>
              </w:rPr>
            </w:pPr>
            <w:r w:rsidRPr="0066649E">
              <w:rPr>
                <w:rFonts w:cs="Tahoma"/>
              </w:rPr>
              <w:t>Требования к Подрядчику</w:t>
            </w:r>
          </w:p>
        </w:tc>
        <w:tc>
          <w:tcPr>
            <w:tcW w:w="5812" w:type="dxa"/>
          </w:tcPr>
          <w:p w:rsidR="0029590A" w:rsidRPr="004F2AD0" w:rsidRDefault="0066649E" w:rsidP="0066649E">
            <w:pPr>
              <w:pStyle w:val="a1"/>
              <w:numPr>
                <w:ilvl w:val="0"/>
                <w:numId w:val="0"/>
              </w:numPr>
              <w:jc w:val="left"/>
              <w:rPr>
                <w:rFonts w:ascii="Tahoma" w:hAnsi="Tahoma" w:cs="Tahoma"/>
                <w:sz w:val="20"/>
              </w:rPr>
            </w:pPr>
            <w:bookmarkStart w:id="0" w:name="_GoBack"/>
            <w:bookmarkEnd w:id="0"/>
            <w:r w:rsidRPr="0066649E">
              <w:rPr>
                <w:rFonts w:ascii="Tahoma" w:hAnsi="Tahoma" w:cs="Tahoma"/>
                <w:sz w:val="20"/>
                <w:lang w:val="ru-RU"/>
              </w:rPr>
              <w:t>Удостоверения или свидетельства, подтверждающие профессиональное обучение, протоколы о прохождении аттестации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 w:firstLine="567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29590A" w:rsidRPr="004F2AD0" w:rsidTr="0029590A">
        <w:trPr>
          <w:trHeight w:val="41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1.2.2</w:t>
            </w:r>
          </w:p>
        </w:tc>
        <w:tc>
          <w:tcPr>
            <w:tcW w:w="3716" w:type="dxa"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(подрядчика) требованиям ПБ и ОТ</w:t>
            </w:r>
          </w:p>
        </w:tc>
        <w:tc>
          <w:tcPr>
            <w:tcW w:w="5812" w:type="dxa"/>
          </w:tcPr>
          <w:p w:rsidR="0029590A" w:rsidRPr="004F2AD0" w:rsidRDefault="0029590A" w:rsidP="000E053A">
            <w:pPr>
              <w:tabs>
                <w:tab w:val="left" w:pos="0"/>
                <w:tab w:val="left" w:pos="318"/>
              </w:tabs>
              <w:ind w:firstLine="114"/>
              <w:rPr>
                <w:rFonts w:cs="Tahoma"/>
              </w:rPr>
            </w:pPr>
            <w:r w:rsidRPr="004F2AD0">
              <w:rPr>
                <w:rFonts w:cs="Tahoma"/>
              </w:rPr>
              <w:t xml:space="preserve">Подрядчик соответствовать требованиям промышленной безопасности и охраны труда (ПБ и ОТ) - </w:t>
            </w:r>
            <w:r w:rsidRPr="004F2AD0">
              <w:rPr>
                <w:rFonts w:eastAsia="Calibri" w:cs="Tahoma"/>
                <w:i/>
              </w:rPr>
              <w:t xml:space="preserve">Наличие в составе предложения Участника </w:t>
            </w:r>
            <w:r w:rsidRPr="004F2AD0">
              <w:rPr>
                <w:rFonts w:cs="Tahoma"/>
                <w:i/>
              </w:rPr>
              <w:t>закупки</w:t>
            </w:r>
            <w:r w:rsidRPr="004F2AD0">
              <w:rPr>
                <w:rFonts w:eastAsia="Calibri" w:cs="Tahoma"/>
                <w:i/>
              </w:rPr>
              <w:t xml:space="preserve"> опросного листа в соответствии с формой пункта </w:t>
            </w:r>
            <w:r w:rsidRPr="004F2AD0">
              <w:rPr>
                <w:rFonts w:eastAsia="Calibri" w:cs="Tahoma"/>
                <w:i/>
              </w:rPr>
              <w:fldChar w:fldCharType="begin"/>
            </w:r>
            <w:r w:rsidRPr="004F2AD0">
              <w:rPr>
                <w:rFonts w:eastAsia="Calibri" w:cs="Tahoma"/>
                <w:i/>
              </w:rPr>
              <w:instrText xml:space="preserve"> REF _Ref253398010 \r \h  \* MERGEFORMAT </w:instrText>
            </w:r>
            <w:r w:rsidRPr="004F2AD0">
              <w:rPr>
                <w:rFonts w:eastAsia="Calibri" w:cs="Tahoma"/>
                <w:i/>
              </w:rPr>
            </w:r>
            <w:r w:rsidRPr="004F2AD0">
              <w:rPr>
                <w:rFonts w:eastAsia="Calibri" w:cs="Tahoma"/>
                <w:i/>
              </w:rPr>
              <w:fldChar w:fldCharType="separate"/>
            </w:r>
            <w:r w:rsidRPr="004F2AD0">
              <w:rPr>
                <w:rFonts w:eastAsia="Calibri" w:cs="Tahoma"/>
                <w:i/>
              </w:rPr>
              <w:t>6.15</w:t>
            </w:r>
            <w:r w:rsidRPr="004F2AD0">
              <w:rPr>
                <w:rFonts w:eastAsia="Calibri" w:cs="Tahoma"/>
                <w:i/>
              </w:rPr>
              <w:fldChar w:fldCharType="end"/>
            </w:r>
          </w:p>
          <w:p w:rsidR="0029590A" w:rsidRPr="004F2AD0" w:rsidRDefault="0029590A" w:rsidP="000E053A">
            <w:pPr>
              <w:ind w:left="127" w:hanging="13"/>
              <w:rPr>
                <w:rFonts w:cs="Tahoma"/>
              </w:rPr>
            </w:pP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Благонадежность Участника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установленным корпоративным требованиям безопасности:</w:t>
            </w:r>
          </w:p>
          <w:p w:rsidR="0029590A" w:rsidRPr="004F2AD0" w:rsidRDefault="0029590A" w:rsidP="000E053A">
            <w:pPr>
              <w:rPr>
                <w:rFonts w:cs="Tahoma"/>
              </w:rPr>
            </w:pPr>
            <w:r w:rsidRPr="004F2AD0" w:rsidDel="00370FF0">
              <w:rPr>
                <w:rFonts w:cs="Tahoma"/>
              </w:rPr>
              <w:t xml:space="preserve"> </w:t>
            </w:r>
            <w:r w:rsidRPr="004F2AD0">
              <w:rPr>
                <w:rFonts w:cs="Tahoma"/>
              </w:rPr>
              <w:t xml:space="preserve"> 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lastRenderedPageBreak/>
              <w:t>1.3.1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Отсутствие применения в отношении Участника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Справка о кадровых ресурсах, 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1.3.2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Отсутствие судебных решений, вступивших в законную силу, не в пользу Участника закупки вследствие неисполнения им договорных обязательств перед третьими лицами по договорам поставки продукции, работ/услуг за последние 2 года.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 xml:space="preserve">  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1.3.3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Отсутствие необъяснимых противоречий и недостоверных сведений в предоставленных Участником закупки документах и информации.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Информация, сведения, представленные Участником закупки в своей заявке на предмет отсутствия необъяснимых противоречий и недостоверных сведений внешней информации, полученной не из заявки Участника закупки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1.3.4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proofErr w:type="spellStart"/>
            <w:r w:rsidRPr="004F2AD0">
              <w:rPr>
                <w:rFonts w:cs="Tahoma"/>
                <w:lang w:eastAsia="en-US"/>
              </w:rPr>
              <w:t>Непроведение</w:t>
            </w:r>
            <w:proofErr w:type="spellEnd"/>
            <w:r w:rsidRPr="004F2AD0">
              <w:rPr>
                <w:rFonts w:cs="Tahoma"/>
                <w:lang w:eastAsia="en-US"/>
              </w:rPr>
              <w:t xml:space="preserve"> ликвидации, реорганизации (в форме, не предусматривающей наличие правопреемника по всем правам и обязанностям)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1.3.5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proofErr w:type="spellStart"/>
            <w:r w:rsidRPr="004F2AD0">
              <w:rPr>
                <w:rFonts w:cs="Tahoma"/>
                <w:lang w:eastAsia="en-US"/>
              </w:rPr>
              <w:t>Неприостановление</w:t>
            </w:r>
            <w:proofErr w:type="spellEnd"/>
            <w:r w:rsidRPr="004F2AD0">
              <w:rPr>
                <w:rFonts w:cs="Tahoma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        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2.</w:t>
            </w:r>
            <w:r w:rsidRPr="004F2AD0">
              <w:rPr>
                <w:rFonts w:cs="Tahoma"/>
                <w:vertAlign w:val="superscript"/>
              </w:rPr>
              <w:footnoteReference w:id="1"/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spacing w:after="120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Статус коллективного частника / генеральных подрядчиков (исполнителей)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2.1.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требованиям к коллективному участнику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2.2.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требованиям к генеральному исполнителю (подрядчику)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Документы, представленные Участником закупки в соответствии с требованиями раздела закупочной документации «Участие генеральных исполнителей/подрядчиков» 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3.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  <w:b/>
              </w:rPr>
              <w:t>Статус оферты Участника закупки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Правомочие лица, подписавшего оферту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Документы (копии, заверенные Участником), подтверждающие полномочия лица, подписавшего оферту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оферты (с учетом протокола разногласий) требованиям закупочной документации (технического задания)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Срок действия оферты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3.2.2.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Содержание оферты в части вида (перечня) работ/услуг 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lastRenderedPageBreak/>
              <w:t>3.2.3.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Содержание оферты в части срока выполнения работ/услуг 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3.2.4.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Содержание оферты в части объема выполняемых работ/услуг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3.2.5.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Содержание оферты в части гарантий качества работ, представленных Участником/услуг</w:t>
            </w:r>
          </w:p>
        </w:tc>
      </w:tr>
      <w:tr w:rsidR="0029590A" w:rsidRPr="00BD74D0" w:rsidTr="0029590A">
        <w:trPr>
          <w:trHeight w:val="81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4.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Цена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BD74D0" w:rsidRDefault="0029590A" w:rsidP="000E053A">
            <w:pPr>
              <w:rPr>
                <w:rFonts w:cs="Tahoma"/>
              </w:rPr>
            </w:pPr>
            <w:bookmarkStart w:id="1" w:name="_Toc422228677"/>
            <w:r w:rsidRPr="004F2AD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  <w:bookmarkEnd w:id="1"/>
          </w:p>
        </w:tc>
      </w:tr>
    </w:tbl>
    <w:p w:rsidR="000A0504" w:rsidRPr="000A0504" w:rsidRDefault="000A0504" w:rsidP="000A0504">
      <w:pPr>
        <w:spacing w:line="276" w:lineRule="auto"/>
        <w:rPr>
          <w:b/>
        </w:rPr>
      </w:pPr>
    </w:p>
    <w:p w:rsidR="00EC5D75" w:rsidRDefault="00EC5D75" w:rsidP="00EC5D75">
      <w:pPr>
        <w:spacing w:line="276" w:lineRule="auto"/>
        <w:jc w:val="center"/>
        <w:rPr>
          <w:b/>
        </w:rPr>
      </w:pPr>
    </w:p>
    <w:p w:rsidR="00EC5D75" w:rsidRPr="00EC5D75" w:rsidRDefault="00EC5D75" w:rsidP="00EC5D75">
      <w:pPr>
        <w:spacing w:line="276" w:lineRule="auto"/>
        <w:jc w:val="center"/>
        <w:rPr>
          <w:b/>
        </w:rPr>
      </w:pPr>
    </w:p>
    <w:p w:rsidR="000A758D" w:rsidRDefault="000A758D" w:rsidP="00B14D47">
      <w:pPr>
        <w:spacing w:after="200" w:line="276" w:lineRule="auto"/>
        <w:rPr>
          <w:color w:val="000000"/>
          <w:lang w:eastAsia="en-US"/>
        </w:rPr>
      </w:pPr>
    </w:p>
    <w:p w:rsidR="000A758D" w:rsidRDefault="000A758D" w:rsidP="00B14D47">
      <w:pPr>
        <w:spacing w:after="200" w:line="276" w:lineRule="auto"/>
        <w:rPr>
          <w:color w:val="000000"/>
          <w:lang w:eastAsia="en-US"/>
        </w:rPr>
      </w:pPr>
    </w:p>
    <w:p w:rsidR="00B14D47" w:rsidRPr="006431E2" w:rsidRDefault="00B14D47" w:rsidP="00B14D47">
      <w:pPr>
        <w:pStyle w:val="a7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:rsidR="00B14D47" w:rsidRPr="00C06362" w:rsidRDefault="00B14D47" w:rsidP="00B14D47">
      <w:pPr>
        <w:pStyle w:val="a7"/>
        <w:spacing w:after="0" w:line="276" w:lineRule="auto"/>
        <w:ind w:firstLine="0"/>
        <w:jc w:val="center"/>
        <w:rPr>
          <w:b/>
        </w:rPr>
      </w:pPr>
      <w:r>
        <w:rPr>
          <w:b/>
          <w:lang w:val="en-US"/>
        </w:rPr>
        <w:t>II</w:t>
      </w:r>
      <w:r w:rsidRPr="00C06362">
        <w:rPr>
          <w:b/>
        </w:rPr>
        <w:t xml:space="preserve">. </w:t>
      </w:r>
      <w:r w:rsidRPr="00F475DA">
        <w:rPr>
          <w:b/>
        </w:rPr>
        <w:t>Критерии о</w:t>
      </w:r>
      <w:r>
        <w:rPr>
          <w:b/>
        </w:rPr>
        <w:t>ценки</w:t>
      </w:r>
      <w:r w:rsidRPr="00C06362">
        <w:rPr>
          <w:b/>
        </w:rPr>
        <w:t xml:space="preserve"> </w:t>
      </w:r>
      <w:r>
        <w:rPr>
          <w:b/>
        </w:rPr>
        <w:t>и весовые коэффициенты</w:t>
      </w:r>
    </w:p>
    <w:p w:rsidR="00B14D47" w:rsidRPr="00FB3662" w:rsidRDefault="00B14D47" w:rsidP="00B14D47">
      <w:pPr>
        <w:pStyle w:val="a7"/>
        <w:spacing w:after="0" w:line="276" w:lineRule="auto"/>
        <w:ind w:firstLine="0"/>
        <w:jc w:val="right"/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1296"/>
        <w:gridCol w:w="2116"/>
        <w:gridCol w:w="2116"/>
        <w:gridCol w:w="1170"/>
        <w:gridCol w:w="1171"/>
        <w:gridCol w:w="1171"/>
      </w:tblGrid>
      <w:tr w:rsidR="00B14D47" w:rsidRPr="00FB3662" w:rsidTr="00B30400">
        <w:trPr>
          <w:trHeight w:val="390"/>
        </w:trPr>
        <w:tc>
          <w:tcPr>
            <w:tcW w:w="820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№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Критерий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Подкритерий первого уровня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Подкритерий второго уровня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14D47" w:rsidRPr="00C81EE3" w:rsidRDefault="00B14D47" w:rsidP="00B30400">
            <w:pPr>
              <w:spacing w:line="276" w:lineRule="auto"/>
              <w:jc w:val="center"/>
            </w:pPr>
            <w:r w:rsidRPr="00C81EE3">
              <w:t>Весовой коэффициент критерия</w:t>
            </w:r>
          </w:p>
          <w:p w:rsidR="00B14D47" w:rsidRPr="00C81EE3" w:rsidRDefault="00B14D47" w:rsidP="00B30400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B14D47" w:rsidRPr="00C81EE3" w:rsidRDefault="00B14D47" w:rsidP="00B30400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первого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B14D47" w:rsidRPr="00C81EE3" w:rsidRDefault="00B14D47" w:rsidP="00B30400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B14D47" w:rsidRPr="00C81EE3" w:rsidRDefault="00B14D47" w:rsidP="00B30400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второго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B14D47" w:rsidRPr="00C81EE3" w:rsidRDefault="00B14D47" w:rsidP="00B30400">
            <w:pPr>
              <w:spacing w:line="276" w:lineRule="auto"/>
              <w:jc w:val="center"/>
            </w:pPr>
          </w:p>
        </w:tc>
      </w:tr>
      <w:tr w:rsidR="00B14D47" w:rsidRPr="00FB3662" w:rsidTr="00B30400">
        <w:trPr>
          <w:trHeight w:val="210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1. 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Коммерческие условия </w:t>
            </w:r>
            <w:r>
              <w:t>заявки</w:t>
            </w: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1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  <w:tr w:rsidR="00B14D47" w:rsidRPr="00FB3662" w:rsidTr="00B30400">
        <w:trPr>
          <w:trHeight w:val="10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1.1.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Стоимость </w:t>
            </w:r>
            <w:r>
              <w:t>заявки</w:t>
            </w:r>
            <w:r w:rsidRPr="00FB3662">
              <w:rPr>
                <w:rStyle w:val="aa"/>
              </w:rPr>
              <w:footnoteReference w:id="2"/>
            </w:r>
          </w:p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</w:t>
            </w:r>
            <w:r>
              <w:t>7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  <w:tr w:rsidR="00B14D47" w:rsidRPr="00FB3662" w:rsidTr="00B30400">
        <w:trPr>
          <w:trHeight w:val="990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Прочие финансовые условия </w:t>
            </w:r>
            <w:r>
              <w:t>заявки</w:t>
            </w:r>
            <w:r w:rsidRPr="00FB3662">
              <w:rPr>
                <w:rStyle w:val="aa"/>
              </w:rPr>
              <w:footnoteReference w:id="3"/>
            </w:r>
            <w:r w:rsidRPr="00FB3662">
              <w:t xml:space="preserve"> </w:t>
            </w: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</w:t>
            </w:r>
            <w:r>
              <w:t>2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  <w:tr w:rsidR="00B14D47" w:rsidRPr="00FB3662" w:rsidTr="00B30400">
        <w:trPr>
          <w:trHeight w:val="49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1.2.1.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Условия оплаты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DF4687" w:rsidRDefault="00B14D47" w:rsidP="00B30400">
            <w:pPr>
              <w:spacing w:line="276" w:lineRule="auto"/>
              <w:rPr>
                <w:highlight w:val="green"/>
              </w:rPr>
            </w:pPr>
            <w:r w:rsidRPr="000C7EC9">
              <w:t>0,</w:t>
            </w:r>
            <w:r w:rsidRPr="00DF4687">
              <w:t>6</w:t>
            </w:r>
          </w:p>
        </w:tc>
      </w:tr>
      <w:tr w:rsidR="00B14D47" w:rsidRPr="00FB3662" w:rsidTr="00B30400">
        <w:trPr>
          <w:trHeight w:val="529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1.2.2.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Удержанный платеж</w:t>
            </w:r>
            <w:r w:rsidRPr="00FB3662">
              <w:rPr>
                <w:rStyle w:val="aa"/>
              </w:rPr>
              <w:footnoteReference w:id="4"/>
            </w:r>
            <w:r w:rsidRPr="00FB3662">
              <w:t>, банковская гарантия, залог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DF4687" w:rsidRDefault="00B14D47" w:rsidP="00B30400">
            <w:pPr>
              <w:spacing w:line="276" w:lineRule="auto"/>
              <w:rPr>
                <w:highlight w:val="green"/>
              </w:rPr>
            </w:pPr>
            <w:r w:rsidRPr="000C7EC9">
              <w:t>0,</w:t>
            </w:r>
            <w:r w:rsidRPr="00DF4687">
              <w:t>2</w:t>
            </w:r>
          </w:p>
        </w:tc>
      </w:tr>
      <w:tr w:rsidR="00B14D47" w:rsidRPr="00FB3662" w:rsidTr="00B30400">
        <w:trPr>
          <w:trHeight w:val="336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1.2.3.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Штрафы и пени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</w:t>
            </w:r>
            <w:r w:rsidRPr="00DF4687">
              <w:t>1</w:t>
            </w:r>
          </w:p>
        </w:tc>
      </w:tr>
      <w:tr w:rsidR="00B14D47" w:rsidRPr="00FB3662" w:rsidTr="00B30400">
        <w:trPr>
          <w:trHeight w:val="37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1.2.4.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Форма расчета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0,1</w:t>
            </w:r>
          </w:p>
        </w:tc>
      </w:tr>
      <w:tr w:rsidR="00B14D47" w:rsidRPr="00FB3662" w:rsidTr="00B30400">
        <w:trPr>
          <w:trHeight w:val="37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>
              <w:t>1.3.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>
              <w:t>Прочие контрактные условия заявки</w:t>
            </w: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DF4687">
              <w:t>0,1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</w:tbl>
    <w:p w:rsidR="00B14D47" w:rsidRPr="006431E2" w:rsidRDefault="00B14D47" w:rsidP="00B14D47">
      <w:pPr>
        <w:jc w:val="both"/>
        <w:rPr>
          <w:color w:val="000000"/>
          <w:lang w:eastAsia="en-US"/>
        </w:rPr>
      </w:pPr>
    </w:p>
    <w:p w:rsidR="00B14D47" w:rsidRPr="00DF0322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 w:rsidRPr="00CC2F4C">
        <w:rPr>
          <w:rFonts w:ascii="Tahoma" w:hAnsi="Tahoma" w:cs="Tahoma"/>
          <w:sz w:val="20"/>
        </w:rPr>
        <w:t xml:space="preserve">При оценке </w:t>
      </w:r>
      <w:r>
        <w:rPr>
          <w:rFonts w:ascii="Tahoma" w:hAnsi="Tahoma" w:cs="Tahoma"/>
          <w:sz w:val="20"/>
          <w:lang w:val="ru-RU"/>
        </w:rPr>
        <w:t>заявок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У</w:t>
      </w:r>
      <w:r>
        <w:rPr>
          <w:rFonts w:ascii="Tahoma" w:hAnsi="Tahoma" w:cs="Tahoma"/>
          <w:sz w:val="20"/>
        </w:rPr>
        <w:t xml:space="preserve">частников используется </w:t>
      </w:r>
      <w:proofErr w:type="spellStart"/>
      <w:r>
        <w:rPr>
          <w:rFonts w:ascii="Tahoma" w:hAnsi="Tahoma" w:cs="Tahoma"/>
          <w:sz w:val="20"/>
        </w:rPr>
        <w:t>четырех</w:t>
      </w:r>
      <w:r w:rsidRPr="00CC2F4C">
        <w:rPr>
          <w:rFonts w:ascii="Tahoma" w:hAnsi="Tahoma" w:cs="Tahoma"/>
          <w:sz w:val="20"/>
        </w:rPr>
        <w:t>бал</w:t>
      </w:r>
      <w:r>
        <w:rPr>
          <w:rFonts w:ascii="Tahoma" w:hAnsi="Tahoma" w:cs="Tahoma"/>
          <w:sz w:val="20"/>
          <w:lang w:val="ru-RU"/>
        </w:rPr>
        <w:t>л</w:t>
      </w:r>
      <w:r w:rsidRPr="00CC2F4C">
        <w:rPr>
          <w:rFonts w:ascii="Tahoma" w:hAnsi="Tahoma" w:cs="Tahoma"/>
          <w:sz w:val="20"/>
        </w:rPr>
        <w:t>ьная</w:t>
      </w:r>
      <w:proofErr w:type="spellEnd"/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шкала</w:t>
      </w:r>
      <w:r>
        <w:rPr>
          <w:rFonts w:ascii="Tahoma" w:hAnsi="Tahoma" w:cs="Tahoma"/>
          <w:sz w:val="20"/>
        </w:rPr>
        <w:t>.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  <w:lang w:val="ru-RU"/>
        </w:rPr>
        <w:lastRenderedPageBreak/>
        <w:t xml:space="preserve">Оценка по каждому подкритерию определяется </w:t>
      </w:r>
      <w:r w:rsidRPr="00CC2F4C">
        <w:rPr>
          <w:rFonts w:ascii="Tahoma" w:hAnsi="Tahoma" w:cs="Tahoma"/>
          <w:sz w:val="20"/>
        </w:rPr>
        <w:t xml:space="preserve">путем </w:t>
      </w:r>
      <w:r>
        <w:rPr>
          <w:rFonts w:ascii="Tahoma" w:hAnsi="Tahoma" w:cs="Tahoma"/>
          <w:sz w:val="20"/>
        </w:rPr>
        <w:t>произведен</w:t>
      </w:r>
      <w:r>
        <w:rPr>
          <w:rFonts w:ascii="Tahoma" w:hAnsi="Tahoma" w:cs="Tahoma"/>
          <w:sz w:val="20"/>
          <w:lang w:val="ru-RU"/>
        </w:rPr>
        <w:t>ия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выставленных</w:t>
      </w:r>
      <w:r w:rsidRPr="00CC2F4C">
        <w:rPr>
          <w:rFonts w:ascii="Tahoma" w:hAnsi="Tahoma" w:cs="Tahoma"/>
          <w:sz w:val="20"/>
        </w:rPr>
        <w:t xml:space="preserve"> баллов</w:t>
      </w:r>
      <w:r w:rsidRPr="00EF3BC1">
        <w:rPr>
          <w:rFonts w:ascii="Tahoma" w:hAnsi="Tahoma" w:cs="Tahoma"/>
          <w:sz w:val="20"/>
        </w:rPr>
        <w:t xml:space="preserve"> </w:t>
      </w:r>
      <w:r w:rsidRPr="00CC2F4C">
        <w:rPr>
          <w:rFonts w:ascii="Tahoma" w:hAnsi="Tahoma" w:cs="Tahoma"/>
          <w:sz w:val="20"/>
        </w:rPr>
        <w:t>и соответствующ</w:t>
      </w:r>
      <w:r>
        <w:rPr>
          <w:rFonts w:ascii="Tahoma" w:hAnsi="Tahoma" w:cs="Tahoma"/>
          <w:sz w:val="20"/>
          <w:lang w:val="ru-RU"/>
        </w:rPr>
        <w:t>их</w:t>
      </w:r>
      <w:r>
        <w:rPr>
          <w:rFonts w:ascii="Tahoma" w:hAnsi="Tahoma" w:cs="Tahoma"/>
          <w:sz w:val="20"/>
        </w:rPr>
        <w:t xml:space="preserve"> </w:t>
      </w:r>
      <w:r w:rsidRPr="00CC2F4C">
        <w:rPr>
          <w:rFonts w:ascii="Tahoma" w:hAnsi="Tahoma" w:cs="Tahoma"/>
          <w:sz w:val="20"/>
        </w:rPr>
        <w:t>весо</w:t>
      </w:r>
      <w:r>
        <w:rPr>
          <w:rFonts w:ascii="Tahoma" w:hAnsi="Tahoma" w:cs="Tahoma"/>
          <w:sz w:val="20"/>
          <w:lang w:val="ru-RU"/>
        </w:rPr>
        <w:t>вых</w:t>
      </w:r>
      <w:r w:rsidRPr="00CC2F4C">
        <w:rPr>
          <w:rFonts w:ascii="Tahoma" w:hAnsi="Tahoma" w:cs="Tahoma"/>
          <w:sz w:val="20"/>
        </w:rPr>
        <w:t xml:space="preserve"> коэффициент</w:t>
      </w:r>
      <w:r>
        <w:rPr>
          <w:rFonts w:ascii="Tahoma" w:hAnsi="Tahoma" w:cs="Tahoma"/>
          <w:sz w:val="20"/>
          <w:lang w:val="ru-RU"/>
        </w:rPr>
        <w:t>ов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данного под</w:t>
      </w:r>
      <w:r w:rsidRPr="00CC2F4C">
        <w:rPr>
          <w:rFonts w:ascii="Tahoma" w:hAnsi="Tahoma" w:cs="Tahoma"/>
          <w:sz w:val="20"/>
        </w:rPr>
        <w:t>критерия</w:t>
      </w:r>
      <w:r>
        <w:rPr>
          <w:rFonts w:ascii="Tahoma" w:hAnsi="Tahoma" w:cs="Tahoma"/>
          <w:sz w:val="20"/>
          <w:lang w:val="ru-RU"/>
        </w:rPr>
        <w:t>. О</w:t>
      </w:r>
      <w:r w:rsidRPr="008D4B5A">
        <w:rPr>
          <w:rFonts w:ascii="Tahoma" w:hAnsi="Tahoma" w:cs="Tahoma"/>
          <w:sz w:val="20"/>
          <w:lang w:val="ru-RU"/>
        </w:rPr>
        <w:t xml:space="preserve">ценка </w:t>
      </w:r>
      <w:r>
        <w:rPr>
          <w:rFonts w:ascii="Tahoma" w:hAnsi="Tahoma" w:cs="Tahoma"/>
          <w:sz w:val="20"/>
          <w:lang w:val="ru-RU"/>
        </w:rPr>
        <w:t>по подкритерию «</w:t>
      </w:r>
      <w:r w:rsidRPr="00AA5353">
        <w:rPr>
          <w:rFonts w:ascii="Tahoma" w:hAnsi="Tahoma" w:cs="Tahoma"/>
          <w:sz w:val="20"/>
          <w:lang w:val="ru-RU"/>
        </w:rPr>
        <w:t>Прочие финансовые условия предложения</w:t>
      </w:r>
      <w:r>
        <w:rPr>
          <w:rFonts w:ascii="Tahoma" w:hAnsi="Tahoma" w:cs="Tahoma"/>
          <w:sz w:val="20"/>
          <w:lang w:val="ru-RU"/>
        </w:rPr>
        <w:t>»</w:t>
      </w:r>
      <w:r w:rsidRPr="008D4B5A">
        <w:rPr>
          <w:rFonts w:ascii="Tahoma" w:hAnsi="Tahoma" w:cs="Tahoma"/>
          <w:sz w:val="20"/>
          <w:lang w:val="ru-RU"/>
        </w:rPr>
        <w:t xml:space="preserve"> вычисляется путем </w:t>
      </w:r>
      <w:r>
        <w:rPr>
          <w:rFonts w:ascii="Tahoma" w:hAnsi="Tahoma" w:cs="Tahoma"/>
          <w:sz w:val="20"/>
          <w:lang w:val="ru-RU"/>
        </w:rPr>
        <w:t xml:space="preserve">произведения </w:t>
      </w:r>
      <w:r w:rsidRPr="008D4B5A">
        <w:rPr>
          <w:rFonts w:ascii="Tahoma" w:hAnsi="Tahoma" w:cs="Tahoma"/>
          <w:sz w:val="20"/>
          <w:lang w:val="ru-RU"/>
        </w:rPr>
        <w:t xml:space="preserve">сумм полученных значений </w:t>
      </w:r>
      <w:r>
        <w:rPr>
          <w:rFonts w:ascii="Tahoma" w:hAnsi="Tahoma" w:cs="Tahoma"/>
          <w:sz w:val="20"/>
          <w:lang w:val="ru-RU"/>
        </w:rPr>
        <w:t>подкритериев второго уровня на весовой коэффициент данного критерия</w:t>
      </w:r>
      <w:r w:rsidRPr="008D4B5A">
        <w:rPr>
          <w:rFonts w:ascii="Tahoma" w:hAnsi="Tahoma" w:cs="Tahoma"/>
          <w:sz w:val="20"/>
          <w:lang w:val="ru-RU"/>
        </w:rPr>
        <w:t>. Итоговая оценка кажд</w:t>
      </w:r>
      <w:r>
        <w:rPr>
          <w:rFonts w:ascii="Tahoma" w:hAnsi="Tahoma" w:cs="Tahoma"/>
          <w:sz w:val="20"/>
          <w:lang w:val="ru-RU"/>
        </w:rPr>
        <w:t xml:space="preserve">ой заявки </w:t>
      </w:r>
      <w:r w:rsidRPr="008D4B5A">
        <w:rPr>
          <w:rFonts w:ascii="Tahoma" w:hAnsi="Tahoma" w:cs="Tahoma"/>
          <w:sz w:val="20"/>
          <w:lang w:val="ru-RU"/>
        </w:rPr>
        <w:t xml:space="preserve">вычисляется путем суммирования полученных значений </w:t>
      </w:r>
      <w:r>
        <w:rPr>
          <w:rFonts w:ascii="Tahoma" w:hAnsi="Tahoma" w:cs="Tahoma"/>
          <w:sz w:val="20"/>
          <w:lang w:val="ru-RU"/>
        </w:rPr>
        <w:t>подкритериев первого уровня</w:t>
      </w:r>
      <w:r w:rsidRPr="008D4B5A">
        <w:rPr>
          <w:rFonts w:ascii="Tahoma" w:hAnsi="Tahoma" w:cs="Tahoma"/>
          <w:sz w:val="20"/>
          <w:lang w:val="ru-RU"/>
        </w:rPr>
        <w:t>.</w:t>
      </w:r>
    </w:p>
    <w:p w:rsidR="002C5AC2" w:rsidRPr="002C5AC2" w:rsidRDefault="002C5AC2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b/>
          <w:sz w:val="20"/>
          <w:lang w:val="ru-RU"/>
        </w:rPr>
      </w:pPr>
      <w:r w:rsidRPr="00C65BCE">
        <w:rPr>
          <w:rFonts w:ascii="Tahoma" w:hAnsi="Tahoma" w:cs="Tahoma"/>
          <w:sz w:val="20"/>
        </w:rPr>
        <w:t xml:space="preserve"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 w:rsidRPr="00C65BCE">
        <w:rPr>
          <w:rFonts w:ascii="Tahoma" w:hAnsi="Tahoma" w:cs="Tahoma"/>
          <w:b/>
          <w:i/>
          <w:sz w:val="20"/>
        </w:rPr>
        <w:t>сниженной на 15 процентов</w:t>
      </w:r>
      <w:r w:rsidRPr="00C65BCE">
        <w:rPr>
          <w:rFonts w:ascii="Tahoma" w:hAnsi="Tahoma" w:cs="Tahoma"/>
          <w:sz w:val="20"/>
        </w:rPr>
        <w:t>, при этом договор заключается по цене договора, предложенной участником в заявке на участие в закупке</w:t>
      </w:r>
      <w:r>
        <w:rPr>
          <w:rFonts w:ascii="Tahoma" w:hAnsi="Tahoma" w:cs="Tahoma"/>
          <w:sz w:val="20"/>
          <w:lang w:val="ru-RU"/>
        </w:rPr>
        <w:t>.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B14D47" w:rsidRPr="00DA1ACD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 w:rsidRPr="00DA1ACD">
        <w:rPr>
          <w:rFonts w:ascii="Tahoma" w:hAnsi="Tahoma" w:cs="Tahoma"/>
          <w:sz w:val="20"/>
          <w:lang w:val="ru-RU"/>
        </w:rPr>
        <w:t xml:space="preserve">По </w:t>
      </w:r>
      <w:r w:rsidRPr="002D208A">
        <w:rPr>
          <w:rFonts w:ascii="Tahoma" w:hAnsi="Tahoma" w:cs="Tahoma"/>
          <w:sz w:val="20"/>
          <w:lang w:val="ru-RU"/>
        </w:rPr>
        <w:t>под</w:t>
      </w:r>
      <w:r w:rsidRPr="00DA1ACD">
        <w:rPr>
          <w:rFonts w:ascii="Tahoma" w:hAnsi="Tahoma" w:cs="Tahoma"/>
          <w:sz w:val="20"/>
          <w:lang w:val="ru-RU"/>
        </w:rPr>
        <w:t xml:space="preserve">критерию «Стоимость </w:t>
      </w:r>
      <w:r>
        <w:rPr>
          <w:rFonts w:ascii="Tahoma" w:hAnsi="Tahoma" w:cs="Tahoma"/>
          <w:sz w:val="20"/>
          <w:lang w:val="ru-RU"/>
        </w:rPr>
        <w:t>заявки</w:t>
      </w:r>
      <w:r w:rsidRPr="00DA1ACD">
        <w:rPr>
          <w:rFonts w:ascii="Tahoma" w:hAnsi="Tahoma" w:cs="Tahoma"/>
          <w:sz w:val="20"/>
          <w:lang w:val="ru-RU"/>
        </w:rPr>
        <w:t>» оценка производится в соответствии со следующей методикой: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  <w:lang w:val="ru-RU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Стоимость </w:t>
      </w:r>
      <w:r>
        <w:rPr>
          <w:rFonts w:ascii="Tahoma" w:hAnsi="Tahoma" w:cs="Tahoma"/>
          <w:sz w:val="20"/>
          <w:lang w:val="ru-RU"/>
        </w:rPr>
        <w:t>заявки, указанная в оферте Участника,</w:t>
      </w:r>
      <w:r w:rsidRPr="00CC2F4C">
        <w:rPr>
          <w:rFonts w:ascii="Tahoma" w:hAnsi="Tahoma" w:cs="Tahoma"/>
          <w:sz w:val="20"/>
        </w:rPr>
        <w:t xml:space="preserve"> подлежит дисконтированию с учетом графика оплаты</w:t>
      </w:r>
      <w:r>
        <w:rPr>
          <w:rFonts w:ascii="Tahoma" w:hAnsi="Tahoma" w:cs="Tahoma"/>
          <w:sz w:val="20"/>
          <w:lang w:val="ru-RU"/>
        </w:rPr>
        <w:t>, представленного в заявке Участника,</w:t>
      </w:r>
      <w:r w:rsidRPr="00CC2F4C">
        <w:rPr>
          <w:rFonts w:ascii="Tahoma" w:hAnsi="Tahoma" w:cs="Tahoma"/>
          <w:sz w:val="20"/>
        </w:rPr>
        <w:t xml:space="preserve"> и ставки рефинансирования Центрального Банка Российской Федерации. 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Дисконтирование производится по следующей формуле: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m:oMath>
        <m:r>
          <m:rPr>
            <m:sty m:val="p"/>
          </m:rPr>
          <w:rPr>
            <w:rFonts w:ascii="Cambria Math" w:hAnsi="Tahoma" w:cs="Tahoma"/>
            <w:sz w:val="20"/>
          </w:rPr>
          <m:t>Стоимость</m:t>
        </m:r>
        <m:r>
          <m:rPr>
            <m:sty m:val="b"/>
          </m:rPr>
          <w:rPr>
            <w:rFonts w:ascii="Cambria Math" w:hAnsi="Tahoma" w:cs="Tahoma"/>
            <w:sz w:val="20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eastAsia="Calibri" w:hAnsi="Tahoma" w:cs="Tahoma"/>
                <w:bCs/>
                <w:sz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i</m:t>
            </m:r>
            <m:r>
              <m:rPr>
                <m:sty m:val="p"/>
              </m:rPr>
              <w:rPr>
                <w:rFonts w:ascii="Cambria Math" w:hAnsi="Tahoma" w:cs="Tahoma"/>
                <w:sz w:val="20"/>
              </w:rPr>
              <m:t>=</m:t>
            </m:r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n</m:t>
            </m:r>
          </m:sup>
          <m:e>
            <m:f>
              <m:fPr>
                <m:ctrlPr>
                  <w:rPr>
                    <w:rFonts w:ascii="Cambria Math" w:eastAsia="Calibri" w:hAnsi="Tahoma" w:cs="Tahoma"/>
                    <w:bCs/>
                    <w:sz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Tahoma" w:cs="Tahoma"/>
                        <w:bCs/>
                        <w:sz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ahoma" w:cs="Tahoma"/>
                        <w:sz w:val="20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eastAsia="Calibri" w:hAnsi="Tahoma" w:cs="Tahoma"/>
                        <w:bCs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Tahoma" w:cs="Tahoma"/>
                            <w:bCs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z w:val="20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ahoma" w:cs="Tahoma"/>
                            <w:sz w:val="2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="Calibri" w:hAnsi="Tahoma" w:cs="Tahoma"/>
                                <w:bCs/>
                                <w:sz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ahoma" w:cs="Tahoma"/>
                                <w:sz w:val="20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 w:val="20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  <m:ctrlPr>
                      <w:rPr>
                        <w:rFonts w:ascii="Cambria Math" w:eastAsia="Calibri" w:hAnsi="Tahoma" w:cs="Tahoma"/>
                        <w:bCs/>
                        <w:i/>
                        <w:iCs/>
                        <w:sz w:val="20"/>
                      </w:rPr>
                    </m:ctrlPr>
                  </m:sup>
                </m:sSup>
                <m:ctrlPr>
                  <w:rPr>
                    <w:rFonts w:ascii="Cambria Math" w:eastAsia="Calibri" w:hAnsi="Tahoma" w:cs="Tahoma"/>
                    <w:bCs/>
                    <w:i/>
                    <w:iCs/>
                    <w:sz w:val="20"/>
                  </w:rPr>
                </m:ctrlPr>
              </m:den>
            </m:f>
          </m:e>
        </m:nary>
      </m:oMath>
      <w:r w:rsidRPr="00CC2F4C">
        <w:rPr>
          <w:rFonts w:ascii="Tahoma" w:hAnsi="Tahoma" w:cs="Tahoma"/>
          <w:sz w:val="20"/>
        </w:rPr>
        <w:t xml:space="preserve"> 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Где: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Стоимость – дисконтированная стоимость </w:t>
      </w:r>
      <w:r>
        <w:rPr>
          <w:rFonts w:ascii="Tahoma" w:hAnsi="Tahoma" w:cs="Tahoma"/>
          <w:sz w:val="20"/>
          <w:lang w:val="ru-RU"/>
        </w:rPr>
        <w:t>заявки</w:t>
      </w:r>
      <w:r w:rsidRPr="00CC2F4C">
        <w:rPr>
          <w:rFonts w:ascii="Tahoma" w:hAnsi="Tahoma" w:cs="Tahoma"/>
          <w:sz w:val="20"/>
        </w:rPr>
        <w:t xml:space="preserve"> без НДС;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n – количество месяцев/дней от момента заключения договора до наступления срока последнего платежа;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i - счетный месяц/день наступления очередного платежа;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CC2F4C">
        <w:rPr>
          <w:rFonts w:ascii="Tahoma" w:hAnsi="Tahoma" w:cs="Tahoma"/>
          <w:sz w:val="20"/>
        </w:rPr>
        <w:t>Платеж</w:t>
      </w:r>
      <w:r w:rsidRPr="00AA5353">
        <w:rPr>
          <w:rFonts w:ascii="Tahoma" w:hAnsi="Tahoma" w:cs="Tahoma"/>
          <w:sz w:val="20"/>
          <w:vertAlign w:val="subscript"/>
        </w:rPr>
        <w:t>i</w:t>
      </w:r>
      <w:proofErr w:type="spellEnd"/>
      <w:r w:rsidRPr="00CC2F4C">
        <w:rPr>
          <w:rFonts w:ascii="Tahoma" w:hAnsi="Tahoma" w:cs="Tahoma"/>
          <w:sz w:val="20"/>
        </w:rPr>
        <w:t xml:space="preserve"> – сумма оплаты в месяц/день i в соответствии с графиком платежей без НДС;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Ставка – ставка рефинансирования Центрального Банка Российской Федерации. 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CC2F4C">
        <w:rPr>
          <w:rFonts w:ascii="Tahoma" w:hAnsi="Tahoma" w:cs="Tahoma"/>
          <w:sz w:val="20"/>
        </w:rPr>
        <w:t>ni</w:t>
      </w:r>
      <w:proofErr w:type="spellEnd"/>
      <w:r w:rsidRPr="00CC2F4C">
        <w:rPr>
          <w:rFonts w:ascii="Tahoma" w:hAnsi="Tahoma" w:cs="Tahoma"/>
          <w:sz w:val="20"/>
        </w:rPr>
        <w:t xml:space="preserve"> – количество счетных месяцев/дней в году.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C2F4C" w:rsidRDefault="00B14D47" w:rsidP="00B14D47">
      <w:pPr>
        <w:ind w:firstLine="708"/>
        <w:rPr>
          <w:rFonts w:cs="Tahoma"/>
        </w:rPr>
      </w:pPr>
      <w:r w:rsidRPr="00CC2F4C">
        <w:rPr>
          <w:rFonts w:cs="Tahoma"/>
        </w:rPr>
        <w:t>Бал</w:t>
      </w:r>
      <w:r>
        <w:rPr>
          <w:rFonts w:cs="Tahoma"/>
        </w:rPr>
        <w:t>л</w:t>
      </w:r>
      <w:r w:rsidRPr="00CC2F4C">
        <w:rPr>
          <w:rFonts w:cs="Tahoma"/>
        </w:rPr>
        <w:t xml:space="preserve">ьная оценка </w:t>
      </w:r>
      <w:r>
        <w:rPr>
          <w:rFonts w:cs="Tahoma"/>
        </w:rPr>
        <w:t xml:space="preserve">каждой заявки </w:t>
      </w:r>
      <w:r w:rsidRPr="00CC2F4C">
        <w:rPr>
          <w:rFonts w:cs="Tahoma"/>
        </w:rPr>
        <w:t xml:space="preserve">по критерию </w:t>
      </w:r>
      <w:r>
        <w:rPr>
          <w:rFonts w:cs="Tahoma"/>
        </w:rPr>
        <w:t>«</w:t>
      </w:r>
      <w:r w:rsidRPr="00CC2F4C">
        <w:rPr>
          <w:rFonts w:cs="Tahoma"/>
        </w:rPr>
        <w:t xml:space="preserve">Стоимость </w:t>
      </w:r>
      <w:r>
        <w:rPr>
          <w:rFonts w:cs="Tahoma"/>
        </w:rPr>
        <w:t>заявки»</w:t>
      </w:r>
      <w:r w:rsidRPr="00CC2F4C">
        <w:rPr>
          <w:rFonts w:cs="Tahoma"/>
        </w:rPr>
        <w:t xml:space="preserve"> </w:t>
      </w:r>
      <w:r>
        <w:rPr>
          <w:rFonts w:cs="Tahoma"/>
        </w:rPr>
        <w:t>определяется</w:t>
      </w:r>
      <w:r w:rsidRPr="00CC2F4C">
        <w:rPr>
          <w:rFonts w:cs="Tahoma"/>
        </w:rPr>
        <w:t xml:space="preserve"> по следующей формуле:</w:t>
      </w:r>
    </w:p>
    <w:p w:rsidR="00B14D47" w:rsidRPr="00CC2F4C" w:rsidRDefault="00B14D47" w:rsidP="00B14D47">
      <w:pPr>
        <w:rPr>
          <w:rFonts w:cs="Tahoma"/>
        </w:rPr>
      </w:pPr>
    </w:p>
    <w:p w:rsidR="00B14D47" w:rsidRPr="00B2716E" w:rsidRDefault="00A77BCA" w:rsidP="00B14D47">
      <w:pPr>
        <w:rPr>
          <w:rFonts w:cs="Tahom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ahoma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ahoma"/>
                  <w:lang w:val="en-US"/>
                </w:rPr>
                <m:t>Ra</m:t>
              </m:r>
            </m:e>
            <m:sub>
              <m:r>
                <w:rPr>
                  <w:rFonts w:ascii="Cambria Math" w:hAnsi="Cambria Math" w:cs="Tahoma"/>
                  <w:lang w:val="en-US"/>
                </w:rPr>
                <m:t>i</m:t>
              </m:r>
            </m:sub>
          </m:sSub>
          <m:r>
            <w:rPr>
              <w:rFonts w:ascii="Cambria Math" w:cs="Tahoma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cs="Tahoma"/>
            </w:rPr>
            <m:t>х</m:t>
          </m:r>
          <m:r>
            <w:rPr>
              <w:rFonts w:ascii="Cambria Math" w:cs="Tahoma"/>
            </w:rPr>
            <m:t xml:space="preserve"> </m:t>
          </m:r>
          <m:r>
            <w:rPr>
              <w:rFonts w:ascii="Cambria Math" w:hAnsi="Cambria Math" w:cs="Tahoma"/>
              <w:lang w:val="en-US"/>
            </w:rPr>
            <m:t>4</m:t>
          </m:r>
        </m:oMath>
      </m:oMathPara>
    </w:p>
    <w:p w:rsidR="00B14D47" w:rsidRPr="00CC2F4C" w:rsidRDefault="00B14D47" w:rsidP="00B14D47">
      <w:pPr>
        <w:rPr>
          <w:rFonts w:cs="Tahoma"/>
        </w:rPr>
      </w:pPr>
    </w:p>
    <w:p w:rsidR="00B14D47" w:rsidRPr="00CC2F4C" w:rsidRDefault="00A77BCA" w:rsidP="00B14D47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Ra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B14D47" w:rsidRPr="00CC2F4C">
        <w:rPr>
          <w:rFonts w:cs="Tahoma"/>
        </w:rPr>
        <w:t xml:space="preserve"> – баллы, присуждаемые </w:t>
      </w:r>
      <w:proofErr w:type="spellStart"/>
      <w:r w:rsidR="00B14D47" w:rsidRPr="00CC2F4C">
        <w:rPr>
          <w:rFonts w:cs="Tahoma"/>
          <w:lang w:val="en-US"/>
        </w:rPr>
        <w:t>i</w:t>
      </w:r>
      <w:proofErr w:type="spellEnd"/>
      <w:r w:rsidR="00B14D47" w:rsidRPr="00CC2F4C">
        <w:rPr>
          <w:rFonts w:cs="Tahoma"/>
        </w:rPr>
        <w:t>-му участнику;</w:t>
      </w:r>
    </w:p>
    <w:p w:rsidR="00B14D47" w:rsidRPr="00CC2F4C" w:rsidRDefault="00A77BCA" w:rsidP="00B14D47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min</m:t>
            </m:r>
          </m:sub>
        </m:sSub>
      </m:oMath>
      <w:r w:rsidR="00B14D47" w:rsidRPr="00CC2F4C">
        <w:rPr>
          <w:rFonts w:cs="Tahoma"/>
        </w:rPr>
        <w:t xml:space="preserve"> – </w:t>
      </w:r>
      <w:r w:rsidR="00B14D47" w:rsidRPr="007F73E6">
        <w:rPr>
          <w:rFonts w:cs="Tahoma"/>
        </w:rPr>
        <w:t>минимальная дисконтированная</w:t>
      </w:r>
      <w:r w:rsidR="00B14D47" w:rsidRPr="00CC2F4C">
        <w:rPr>
          <w:rFonts w:cs="Tahoma"/>
        </w:rPr>
        <w:t xml:space="preserve"> стоимость</w:t>
      </w:r>
      <w:r w:rsidR="00B14D47">
        <w:rPr>
          <w:rFonts w:cs="Tahoma"/>
        </w:rPr>
        <w:t xml:space="preserve"> заявки</w:t>
      </w:r>
      <w:r w:rsidR="00B14D47" w:rsidRPr="00CC2F4C">
        <w:rPr>
          <w:rFonts w:cs="Tahoma"/>
        </w:rPr>
        <w:t xml:space="preserve">, предложенная </w:t>
      </w:r>
      <w:r w:rsidR="00B14D47">
        <w:rPr>
          <w:rFonts w:cs="Tahoma"/>
        </w:rPr>
        <w:t>У</w:t>
      </w:r>
      <w:r w:rsidR="00B14D47" w:rsidRPr="00CC2F4C">
        <w:rPr>
          <w:rFonts w:cs="Tahoma"/>
        </w:rPr>
        <w:t>частниками;</w:t>
      </w:r>
    </w:p>
    <w:p w:rsidR="00B14D47" w:rsidRPr="007F73E6" w:rsidRDefault="00A77BCA" w:rsidP="00B14D47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B14D47" w:rsidRPr="00CC2F4C">
        <w:rPr>
          <w:rFonts w:cs="Tahoma"/>
        </w:rPr>
        <w:t xml:space="preserve">     – </w:t>
      </w:r>
      <w:r w:rsidR="00B14D47" w:rsidRPr="007F73E6">
        <w:rPr>
          <w:rFonts w:cs="Tahoma"/>
        </w:rPr>
        <w:t xml:space="preserve">дисконтированная стоимость заявки </w:t>
      </w:r>
      <w:proofErr w:type="spellStart"/>
      <w:r w:rsidR="00B14D47" w:rsidRPr="007F73E6">
        <w:rPr>
          <w:rFonts w:cs="Tahoma"/>
          <w:lang w:val="en-US"/>
        </w:rPr>
        <w:t>i</w:t>
      </w:r>
      <w:proofErr w:type="spellEnd"/>
      <w:r w:rsidR="00B14D47" w:rsidRPr="007F73E6">
        <w:rPr>
          <w:rFonts w:cs="Tahoma"/>
        </w:rPr>
        <w:t>-го участника;</w:t>
      </w:r>
    </w:p>
    <w:p w:rsidR="00B14D47" w:rsidRPr="007F73E6" w:rsidRDefault="00B14D47" w:rsidP="00B14D47">
      <w:pPr>
        <w:rPr>
          <w:rFonts w:cs="Tahoma"/>
        </w:rPr>
      </w:pPr>
      <w:proofErr w:type="spellStart"/>
      <w:r w:rsidRPr="007F73E6">
        <w:rPr>
          <w:rFonts w:cs="Tahoma"/>
          <w:lang w:val="en-US"/>
        </w:rPr>
        <w:t>i</w:t>
      </w:r>
      <w:proofErr w:type="spellEnd"/>
      <w:r w:rsidRPr="007F73E6">
        <w:rPr>
          <w:rFonts w:cs="Tahoma"/>
        </w:rPr>
        <w:t xml:space="preserve"> – </w:t>
      </w:r>
      <w:proofErr w:type="gramStart"/>
      <w:r w:rsidRPr="007F73E6">
        <w:rPr>
          <w:rFonts w:cs="Tahoma"/>
        </w:rPr>
        <w:t>участник</w:t>
      </w:r>
      <w:proofErr w:type="gramEnd"/>
      <w:r w:rsidRPr="007F73E6">
        <w:rPr>
          <w:rFonts w:cs="Tahoma"/>
        </w:rPr>
        <w:t xml:space="preserve"> закупки.</w:t>
      </w:r>
    </w:p>
    <w:p w:rsidR="00B14D47" w:rsidRPr="00CC2F4C" w:rsidRDefault="00B14D47" w:rsidP="00B14D47">
      <w:pPr>
        <w:rPr>
          <w:rFonts w:cs="Tahoma"/>
        </w:rPr>
      </w:pPr>
    </w:p>
    <w:p w:rsidR="00B14D47" w:rsidRPr="00CC2F4C" w:rsidRDefault="00B14D47" w:rsidP="00B14D47">
      <w:pPr>
        <w:ind w:firstLine="708"/>
        <w:rPr>
          <w:rFonts w:cs="Tahoma"/>
        </w:rPr>
      </w:pPr>
      <w:r w:rsidRPr="00CC2F4C"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Значения баллов для Подкритерия </w:t>
      </w:r>
      <w:r>
        <w:rPr>
          <w:rFonts w:ascii="Tahoma" w:hAnsi="Tahoma" w:cs="Tahoma"/>
          <w:sz w:val="20"/>
        </w:rPr>
        <w:t>«</w:t>
      </w:r>
      <w:r w:rsidRPr="00CC2F4C">
        <w:rPr>
          <w:rFonts w:ascii="Tahoma" w:hAnsi="Tahoma" w:cs="Tahoma"/>
          <w:sz w:val="20"/>
        </w:rPr>
        <w:t>Условия оплаты</w:t>
      </w:r>
      <w:r>
        <w:rPr>
          <w:rFonts w:ascii="Tahoma" w:hAnsi="Tahoma" w:cs="Tahoma"/>
          <w:sz w:val="20"/>
        </w:rPr>
        <w:t>»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определяются</w:t>
      </w:r>
      <w:r w:rsidRPr="00CC2F4C">
        <w:rPr>
          <w:rFonts w:ascii="Tahoma" w:hAnsi="Tahoma" w:cs="Tahoma"/>
          <w:sz w:val="20"/>
        </w:rPr>
        <w:t xml:space="preserve"> по </w:t>
      </w:r>
      <w:proofErr w:type="spellStart"/>
      <w:r w:rsidRPr="00CC2F4C">
        <w:rPr>
          <w:rFonts w:ascii="Tahoma" w:hAnsi="Tahoma" w:cs="Tahoma"/>
          <w:sz w:val="20"/>
        </w:rPr>
        <w:t>четырехбал</w:t>
      </w:r>
      <w:r>
        <w:rPr>
          <w:rFonts w:ascii="Tahoma" w:hAnsi="Tahoma" w:cs="Tahoma"/>
          <w:sz w:val="20"/>
          <w:lang w:val="ru-RU"/>
        </w:rPr>
        <w:t>л</w:t>
      </w:r>
      <w:r w:rsidRPr="00CC2F4C">
        <w:rPr>
          <w:rFonts w:ascii="Tahoma" w:hAnsi="Tahoma" w:cs="Tahoma"/>
          <w:sz w:val="20"/>
        </w:rPr>
        <w:t>ьной</w:t>
      </w:r>
      <w:proofErr w:type="spellEnd"/>
      <w:r w:rsidRPr="00CC2F4C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>
        <w:rPr>
          <w:rFonts w:ascii="Tahoma" w:hAnsi="Tahoma" w:cs="Tahoma"/>
          <w:sz w:val="20"/>
          <w:lang w:val="ru-RU"/>
        </w:rPr>
        <w:t>заявки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 xml:space="preserve">Участника </w:t>
      </w:r>
      <w:r w:rsidRPr="00CC2F4C">
        <w:rPr>
          <w:rFonts w:ascii="Tahoma" w:hAnsi="Tahoma" w:cs="Tahoma"/>
          <w:sz w:val="20"/>
        </w:rPr>
        <w:t xml:space="preserve">по данному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 w:rsidRPr="00CC2F4C">
        <w:rPr>
          <w:rFonts w:ascii="Tahoma" w:hAnsi="Tahoma" w:cs="Tahoma"/>
          <w:sz w:val="20"/>
        </w:rPr>
        <w:t>одкритерию</w:t>
      </w:r>
      <w:proofErr w:type="spellEnd"/>
      <w:r w:rsidRPr="00CC2F4C">
        <w:rPr>
          <w:rFonts w:ascii="Tahoma" w:hAnsi="Tahoma" w:cs="Tahoma"/>
          <w:sz w:val="20"/>
        </w:rPr>
        <w:t xml:space="preserve"> требованиям </w:t>
      </w:r>
      <w:r>
        <w:rPr>
          <w:rFonts w:ascii="Tahoma" w:hAnsi="Tahoma" w:cs="Tahoma"/>
          <w:sz w:val="20"/>
          <w:lang w:val="ru-RU"/>
        </w:rPr>
        <w:t>з</w:t>
      </w:r>
      <w:proofErr w:type="spellStart"/>
      <w:r w:rsidRPr="00CC2F4C">
        <w:rPr>
          <w:rFonts w:ascii="Tahoma" w:hAnsi="Tahoma" w:cs="Tahoma"/>
          <w:sz w:val="20"/>
        </w:rPr>
        <w:t>акупочной</w:t>
      </w:r>
      <w:proofErr w:type="spellEnd"/>
      <w:r w:rsidRPr="00CC2F4C">
        <w:rPr>
          <w:rFonts w:ascii="Tahoma" w:hAnsi="Tahoma" w:cs="Tahoma"/>
          <w:sz w:val="20"/>
        </w:rPr>
        <w:t xml:space="preserve"> документации в соответствии со следующей шкалой:</w:t>
      </w:r>
    </w:p>
    <w:p w:rsidR="00B14D47" w:rsidRDefault="00B14D47" w:rsidP="00B14D47">
      <w:pPr>
        <w:spacing w:line="276" w:lineRule="auto"/>
        <w:jc w:val="center"/>
        <w:rPr>
          <w:rFonts w:cs="Tahoma"/>
          <w:b/>
          <w:color w:val="000000"/>
        </w:rPr>
      </w:pPr>
    </w:p>
    <w:p w:rsidR="00B14D47" w:rsidRPr="005E7306" w:rsidRDefault="00B14D47" w:rsidP="00B14D47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Условия оплаты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14D47" w:rsidRPr="005E7306" w:rsidTr="00B304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14D47" w:rsidRPr="005E7306" w:rsidTr="00B304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color w:val="000000"/>
                <w:lang w:eastAsia="en-US"/>
              </w:rPr>
              <w:t>Участником предложено авансирование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Оценка не применяется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Отсрочка оплаты не соответствует проекту договора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14D47" w:rsidRPr="005E7306" w:rsidTr="00B30400">
        <w:trPr>
          <w:trHeight w:val="596"/>
        </w:trPr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lastRenderedPageBreak/>
              <w:t>Отсрочка оплаты соответствует проекту договора либо предложена на более длительный срок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B14D47" w:rsidRPr="005E7306" w:rsidRDefault="00B14D47" w:rsidP="00B14D47">
      <w:pPr>
        <w:rPr>
          <w:rFonts w:eastAsia="Calibri" w:cs="Tahoma"/>
          <w:lang w:eastAsia="en-US"/>
        </w:rPr>
      </w:pP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FD4AF6">
        <w:rPr>
          <w:rFonts w:ascii="Tahoma" w:hAnsi="Tahoma" w:cs="Tahoma"/>
          <w:sz w:val="20"/>
        </w:rPr>
        <w:t xml:space="preserve">Значения баллов для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>
        <w:rPr>
          <w:rFonts w:ascii="Tahoma" w:hAnsi="Tahoma" w:cs="Tahoma"/>
          <w:sz w:val="20"/>
        </w:rPr>
        <w:t>од</w:t>
      </w:r>
      <w:r w:rsidRPr="00FD4AF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ев</w:t>
      </w:r>
      <w:proofErr w:type="spellEnd"/>
      <w:r>
        <w:rPr>
          <w:rFonts w:ascii="Tahoma" w:hAnsi="Tahoma" w:cs="Tahoma"/>
          <w:sz w:val="20"/>
        </w:rPr>
        <w:t xml:space="preserve"> «Штрафы и пени»</w:t>
      </w:r>
      <w:r>
        <w:rPr>
          <w:rFonts w:ascii="Tahoma" w:hAnsi="Tahoma" w:cs="Tahoma"/>
          <w:sz w:val="20"/>
          <w:lang w:val="ru-RU"/>
        </w:rPr>
        <w:t xml:space="preserve">, </w:t>
      </w:r>
      <w:r>
        <w:rPr>
          <w:rFonts w:ascii="Tahoma" w:hAnsi="Tahoma" w:cs="Tahoma"/>
          <w:sz w:val="20"/>
        </w:rPr>
        <w:t>«Форма расчета»</w:t>
      </w:r>
      <w:r>
        <w:rPr>
          <w:rFonts w:ascii="Tahoma" w:hAnsi="Tahoma" w:cs="Tahoma"/>
          <w:sz w:val="20"/>
          <w:lang w:val="ru-RU"/>
        </w:rPr>
        <w:t xml:space="preserve"> и «</w:t>
      </w:r>
      <w:r w:rsidRPr="00C93EBC">
        <w:rPr>
          <w:rFonts w:ascii="Tahoma" w:hAnsi="Tahoma" w:cs="Tahoma"/>
          <w:sz w:val="20"/>
          <w:lang w:val="ru-RU"/>
        </w:rPr>
        <w:t>Удержанный платеж , банковская гарантия, залог</w:t>
      </w:r>
      <w:r>
        <w:rPr>
          <w:rFonts w:ascii="Tahoma" w:hAnsi="Tahoma" w:cs="Tahoma"/>
          <w:sz w:val="20"/>
          <w:lang w:val="ru-RU"/>
        </w:rPr>
        <w:t>»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определяются</w:t>
      </w:r>
      <w:r>
        <w:rPr>
          <w:rFonts w:ascii="Tahoma" w:hAnsi="Tahoma" w:cs="Tahoma"/>
          <w:sz w:val="20"/>
        </w:rPr>
        <w:t xml:space="preserve"> по </w:t>
      </w:r>
      <w:proofErr w:type="spellStart"/>
      <w:r>
        <w:rPr>
          <w:rFonts w:ascii="Tahoma" w:hAnsi="Tahoma" w:cs="Tahoma"/>
          <w:sz w:val="20"/>
        </w:rPr>
        <w:t>четырехбальной</w:t>
      </w:r>
      <w:proofErr w:type="spellEnd"/>
      <w:r w:rsidRPr="00342306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>
        <w:rPr>
          <w:rFonts w:ascii="Tahoma" w:hAnsi="Tahoma" w:cs="Tahoma"/>
          <w:sz w:val="20"/>
          <w:lang w:val="ru-RU"/>
        </w:rPr>
        <w:t>заявки Участника</w:t>
      </w:r>
      <w:r w:rsidRPr="00342306">
        <w:rPr>
          <w:rFonts w:ascii="Tahoma" w:hAnsi="Tahoma" w:cs="Tahoma"/>
          <w:sz w:val="20"/>
        </w:rPr>
        <w:t xml:space="preserve"> по данн</w:t>
      </w:r>
      <w:r>
        <w:rPr>
          <w:rFonts w:ascii="Tahoma" w:hAnsi="Tahoma" w:cs="Tahoma"/>
          <w:sz w:val="20"/>
        </w:rPr>
        <w:t>ым</w:t>
      </w:r>
      <w:r w:rsidRPr="0034230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>
        <w:rPr>
          <w:rFonts w:ascii="Tahoma" w:hAnsi="Tahoma" w:cs="Tahoma"/>
          <w:sz w:val="20"/>
        </w:rPr>
        <w:t>од</w:t>
      </w:r>
      <w:r w:rsidRPr="0034230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ям</w:t>
      </w:r>
      <w:proofErr w:type="spellEnd"/>
      <w:r w:rsidRPr="00342306">
        <w:rPr>
          <w:rFonts w:ascii="Tahoma" w:hAnsi="Tahoma" w:cs="Tahoma"/>
          <w:sz w:val="20"/>
        </w:rPr>
        <w:t xml:space="preserve"> требованиям </w:t>
      </w:r>
      <w:r>
        <w:rPr>
          <w:rFonts w:ascii="Tahoma" w:hAnsi="Tahoma" w:cs="Tahoma"/>
          <w:sz w:val="20"/>
          <w:lang w:val="ru-RU"/>
        </w:rPr>
        <w:t>з</w:t>
      </w:r>
      <w:proofErr w:type="spellStart"/>
      <w:r w:rsidRPr="00342306">
        <w:rPr>
          <w:rFonts w:ascii="Tahoma" w:hAnsi="Tahoma" w:cs="Tahoma"/>
          <w:sz w:val="20"/>
        </w:rPr>
        <w:t>акупочной</w:t>
      </w:r>
      <w:proofErr w:type="spellEnd"/>
      <w:r w:rsidRPr="00342306">
        <w:rPr>
          <w:rFonts w:ascii="Tahoma" w:hAnsi="Tahoma" w:cs="Tahoma"/>
          <w:sz w:val="20"/>
        </w:rPr>
        <w:t xml:space="preserve"> документации</w:t>
      </w:r>
      <w:r>
        <w:rPr>
          <w:rFonts w:ascii="Tahoma" w:hAnsi="Tahoma" w:cs="Tahoma"/>
          <w:sz w:val="20"/>
        </w:rPr>
        <w:t>: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5E7306" w:rsidRDefault="00B14D47" w:rsidP="00B14D47">
      <w:pPr>
        <w:jc w:val="center"/>
        <w:rPr>
          <w:rFonts w:eastAsia="Calibri" w:cs="Tahoma"/>
          <w:lang w:eastAsia="en-US"/>
        </w:rPr>
      </w:pPr>
      <w:r w:rsidRPr="00587215">
        <w:rPr>
          <w:rFonts w:cs="Tahoma"/>
          <w:b/>
          <w:color w:val="000000"/>
        </w:rPr>
        <w:t xml:space="preserve">Шкала по </w:t>
      </w:r>
      <w:r w:rsidRPr="007F73E6">
        <w:rPr>
          <w:rFonts w:cs="Tahoma"/>
          <w:b/>
          <w:color w:val="000000"/>
        </w:rPr>
        <w:t xml:space="preserve">оценочным подкритериям </w:t>
      </w:r>
      <w:r w:rsidRPr="007F73E6">
        <w:rPr>
          <w:rFonts w:cs="Tahoma"/>
          <w:b/>
        </w:rPr>
        <w:t xml:space="preserve">«Штрафы и пени», «Форма расчета» и «Удержанный </w:t>
      </w:r>
      <w:proofErr w:type="gramStart"/>
      <w:r w:rsidRPr="007F73E6">
        <w:rPr>
          <w:rFonts w:cs="Tahoma"/>
          <w:b/>
        </w:rPr>
        <w:t>платеж ,</w:t>
      </w:r>
      <w:proofErr w:type="gramEnd"/>
      <w:r w:rsidRPr="007F73E6">
        <w:rPr>
          <w:rFonts w:cs="Tahoma"/>
          <w:b/>
        </w:rPr>
        <w:t xml:space="preserve"> банковская гарантия, залог»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14D47" w:rsidRPr="005E7306" w:rsidTr="00B304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14D47" w:rsidRPr="005E7306" w:rsidTr="00B304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 xml:space="preserve">Не предоставлена информация по данному подкритерию (невозможно провести </w:t>
            </w:r>
            <w:proofErr w:type="gramStart"/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оценку)/</w:t>
            </w:r>
            <w:proofErr w:type="gramEnd"/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Не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Соответствует требованиям закупочной документации с незначительными/допустимыми отклонениями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Полностью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Превосходит требования закупочной документации (имеет приоритетные показатели по сравнению с требованиями закупочной документации)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B14D47" w:rsidRPr="005E7306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93EB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93EBC">
        <w:rPr>
          <w:rFonts w:ascii="Tahoma" w:hAnsi="Tahoma" w:cs="Tahoma"/>
          <w:sz w:val="20"/>
        </w:rPr>
        <w:t>По Критерию «Прочие контрактные условия предложения» оценка производится в соответствии со следующей шкалой:</w:t>
      </w:r>
    </w:p>
    <w:p w:rsidR="00B14D47" w:rsidRPr="005E7306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5E7306" w:rsidRDefault="00B14D47" w:rsidP="00B14D47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Прочие контрактные условия предложения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14D47" w:rsidRPr="005E7306" w:rsidTr="00B304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14D47" w:rsidRPr="005E7306" w:rsidTr="00B304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Высокая степень рисков: условия предложения создают угрозу устойчивости договорной конструкции (например, очевидно противоречат закону, что свидетельствует о недействительности договора; допускают возможность досрочного прекращения договорных отношений участником закупки в отсутствие гарантий адекватной </w:t>
            </w:r>
            <w:proofErr w:type="gramStart"/>
            <w:r w:rsidRPr="005E7306">
              <w:rPr>
                <w:rFonts w:cs="Tahoma"/>
              </w:rPr>
              <w:t>компенсации  заказчику</w:t>
            </w:r>
            <w:proofErr w:type="gramEnd"/>
            <w:r w:rsidRPr="005E7306">
              <w:rPr>
                <w:rFonts w:cs="Tahoma"/>
              </w:rPr>
              <w:t xml:space="preserve"> и т.п.).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Средняя степень рисков: условия предложения не создают угрозу устойчивости договорной конструкции, при этом предусматривают очевидно непропорциональное (непаритетное) и (или) крайне невыгодное с юридической точки зрения для заказчика распределение прав и обязанностей между сторонами договора (например, подавляющее большинство условий, сформулированных на основании диспозитивных </w:t>
            </w:r>
            <w:r w:rsidRPr="005E7306">
              <w:rPr>
                <w:rFonts w:cs="Tahoma"/>
              </w:rPr>
              <w:lastRenderedPageBreak/>
              <w:t>норм закона, сформировано в пользу участника закупки; предусмотрена повышенная ответственность заказчика и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lastRenderedPageBreak/>
              <w:t>2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Низкая степень </w:t>
            </w:r>
            <w:proofErr w:type="gramStart"/>
            <w:r w:rsidRPr="005E7306">
              <w:rPr>
                <w:rFonts w:cs="Tahoma"/>
              </w:rPr>
              <w:t>рисков:  условия</w:t>
            </w:r>
            <w:proofErr w:type="gramEnd"/>
            <w:r w:rsidRPr="005E7306">
              <w:rPr>
                <w:rFonts w:cs="Tahoma"/>
              </w:rPr>
              <w:t xml:space="preserve"> предложения не создают угрозу устойчивости договорной конструкции, при этом содержат невыгодные, но не критичные с юридической точки зрения для заказчика положения (например, содержат некомфортные условия о подсудности споров, о сроках уведомления заказчика об изменении условий договора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>Риски отсутствуют: условия предложения не создают угрозу устойчивости договорной конструкции и не содержат невыгодных для заказчика положений. Договор соответствует типовой форме.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left="1276" w:hanging="1134"/>
      </w:pPr>
    </w:p>
    <w:p w:rsidR="00443003" w:rsidRDefault="00443003"/>
    <w:sectPr w:rsidR="00443003" w:rsidSect="00FC7A10">
      <w:headerReference w:type="default" r:id="rId7"/>
      <w:footerReference w:type="default" r:id="rId8"/>
      <w:pgSz w:w="11906" w:h="16838"/>
      <w:pgMar w:top="426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BCA" w:rsidRDefault="00A77BCA" w:rsidP="00B14D47">
      <w:r>
        <w:separator/>
      </w:r>
    </w:p>
  </w:endnote>
  <w:endnote w:type="continuationSeparator" w:id="0">
    <w:p w:rsidR="00A77BCA" w:rsidRDefault="00A77BCA" w:rsidP="00B1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602517"/>
      <w:docPartObj>
        <w:docPartGallery w:val="Page Numbers (Bottom of Page)"/>
        <w:docPartUnique/>
      </w:docPartObj>
    </w:sdtPr>
    <w:sdtEndPr/>
    <w:sdtContent>
      <w:p w:rsidR="002C345E" w:rsidRDefault="00F8179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9E">
          <w:rPr>
            <w:noProof/>
          </w:rPr>
          <w:t>6</w:t>
        </w:r>
        <w:r>
          <w:fldChar w:fldCharType="end"/>
        </w:r>
      </w:p>
    </w:sdtContent>
  </w:sdt>
  <w:p w:rsidR="002C345E" w:rsidRDefault="00A77BC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BCA" w:rsidRDefault="00A77BCA" w:rsidP="00B14D47">
      <w:r>
        <w:separator/>
      </w:r>
    </w:p>
  </w:footnote>
  <w:footnote w:type="continuationSeparator" w:id="0">
    <w:p w:rsidR="00A77BCA" w:rsidRDefault="00A77BCA" w:rsidP="00B14D47">
      <w:r>
        <w:continuationSeparator/>
      </w:r>
    </w:p>
  </w:footnote>
  <w:footnote w:id="1">
    <w:p w:rsidR="0029590A" w:rsidRPr="005C17BE" w:rsidRDefault="0029590A" w:rsidP="0029590A">
      <w:pPr>
        <w:pStyle w:val="a8"/>
        <w:rPr>
          <w:sz w:val="16"/>
          <w:szCs w:val="16"/>
        </w:rPr>
      </w:pPr>
      <w:r w:rsidRPr="005C17BE">
        <w:rPr>
          <w:rStyle w:val="aa"/>
          <w:sz w:val="16"/>
          <w:szCs w:val="16"/>
        </w:rPr>
        <w:footnoteRef/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Оценка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по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данному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критерию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производится</w:t>
      </w:r>
      <w:r w:rsidRPr="005C17BE">
        <w:rPr>
          <w:sz w:val="16"/>
          <w:szCs w:val="16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при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наличии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в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закупочной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документации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соответствующих</w:t>
      </w:r>
      <w:r w:rsidRPr="005373FE">
        <w:rPr>
          <w:sz w:val="16"/>
          <w:szCs w:val="16"/>
          <w:shd w:val="clear" w:color="auto" w:fill="FFFFFF"/>
        </w:rPr>
        <w:t xml:space="preserve"> требований к </w:t>
      </w:r>
      <w:r w:rsidRPr="00F04308">
        <w:rPr>
          <w:sz w:val="16"/>
          <w:szCs w:val="16"/>
        </w:rPr>
        <w:t>коллективн</w:t>
      </w:r>
      <w:r>
        <w:rPr>
          <w:sz w:val="16"/>
          <w:szCs w:val="16"/>
        </w:rPr>
        <w:t>ым</w:t>
      </w:r>
      <w:r w:rsidRPr="00F04308">
        <w:rPr>
          <w:sz w:val="16"/>
          <w:szCs w:val="16"/>
        </w:rPr>
        <w:t xml:space="preserve"> участника</w:t>
      </w:r>
      <w:r>
        <w:rPr>
          <w:sz w:val="16"/>
          <w:szCs w:val="16"/>
        </w:rPr>
        <w:t>м</w:t>
      </w:r>
      <w:r w:rsidRPr="00F04308">
        <w:rPr>
          <w:sz w:val="16"/>
          <w:szCs w:val="16"/>
        </w:rPr>
        <w:t xml:space="preserve"> / генеральны</w:t>
      </w:r>
      <w:r>
        <w:rPr>
          <w:sz w:val="16"/>
          <w:szCs w:val="16"/>
        </w:rPr>
        <w:t>м</w:t>
      </w:r>
      <w:r w:rsidRPr="00F04308">
        <w:rPr>
          <w:sz w:val="16"/>
          <w:szCs w:val="16"/>
        </w:rPr>
        <w:t xml:space="preserve"> исполнител</w:t>
      </w:r>
      <w:r>
        <w:rPr>
          <w:sz w:val="16"/>
          <w:szCs w:val="16"/>
        </w:rPr>
        <w:t>ям</w:t>
      </w:r>
      <w:r w:rsidRPr="00F04308">
        <w:rPr>
          <w:sz w:val="16"/>
          <w:szCs w:val="16"/>
        </w:rPr>
        <w:t xml:space="preserve"> (подрядчик</w:t>
      </w:r>
      <w:r>
        <w:rPr>
          <w:sz w:val="16"/>
          <w:szCs w:val="16"/>
        </w:rPr>
        <w:t>ам</w:t>
      </w:r>
      <w:r w:rsidRPr="00F04308">
        <w:rPr>
          <w:sz w:val="16"/>
          <w:szCs w:val="16"/>
        </w:rPr>
        <w:t>)</w:t>
      </w:r>
      <w:r w:rsidRPr="005373FE">
        <w:rPr>
          <w:sz w:val="16"/>
          <w:szCs w:val="16"/>
          <w:shd w:val="clear" w:color="auto" w:fill="FFFFFF"/>
        </w:rPr>
        <w:t xml:space="preserve">. </w:t>
      </w:r>
    </w:p>
  </w:footnote>
  <w:footnote w:id="2">
    <w:p w:rsidR="00B14D47" w:rsidRDefault="00B14D47" w:rsidP="00B14D47">
      <w:pPr>
        <w:pStyle w:val="a8"/>
      </w:pPr>
      <w:r>
        <w:rPr>
          <w:rStyle w:val="aa"/>
        </w:rPr>
        <w:footnoteRef/>
      </w:r>
      <w:r>
        <w:t xml:space="preserve"> </w:t>
      </w:r>
      <w:r w:rsidRPr="00D36B08">
        <w:rPr>
          <w:sz w:val="16"/>
          <w:szCs w:val="16"/>
        </w:rPr>
        <w:t xml:space="preserve">Не </w:t>
      </w:r>
      <w:r>
        <w:rPr>
          <w:sz w:val="16"/>
          <w:szCs w:val="16"/>
        </w:rPr>
        <w:t>допускается</w:t>
      </w:r>
      <w:r w:rsidRPr="00D36B0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применение </w:t>
      </w:r>
      <w:r w:rsidRPr="00D36B08">
        <w:rPr>
          <w:sz w:val="16"/>
          <w:szCs w:val="16"/>
        </w:rPr>
        <w:t>подкритериев</w:t>
      </w:r>
      <w:r>
        <w:rPr>
          <w:sz w:val="16"/>
          <w:szCs w:val="16"/>
        </w:rPr>
        <w:t>. Рассчитывается в соответствии с утвержденной методикой.</w:t>
      </w:r>
    </w:p>
  </w:footnote>
  <w:footnote w:id="3">
    <w:p w:rsidR="00B14D47" w:rsidRDefault="00B14D47" w:rsidP="00B14D47">
      <w:pPr>
        <w:pStyle w:val="a8"/>
      </w:pPr>
      <w:r>
        <w:rPr>
          <w:rStyle w:val="aa"/>
        </w:rPr>
        <w:footnoteRef/>
      </w:r>
      <w:r>
        <w:t xml:space="preserve"> </w:t>
      </w:r>
      <w:r w:rsidRPr="007D1BCC">
        <w:rPr>
          <w:sz w:val="16"/>
          <w:szCs w:val="16"/>
        </w:rPr>
        <w:t>При отсутствии в проекте договора каких-либо из перечисленных в данном подкритерии условий</w:t>
      </w:r>
      <w:r>
        <w:rPr>
          <w:sz w:val="16"/>
          <w:szCs w:val="16"/>
        </w:rPr>
        <w:t xml:space="preserve"> их</w:t>
      </w:r>
      <w:r w:rsidRPr="007D1BCC">
        <w:rPr>
          <w:sz w:val="16"/>
          <w:szCs w:val="16"/>
        </w:rPr>
        <w:t xml:space="preserve"> вес перераспределяется в пользу подкритерия </w:t>
      </w:r>
      <w:r>
        <w:rPr>
          <w:sz w:val="16"/>
          <w:szCs w:val="16"/>
        </w:rPr>
        <w:t>«</w:t>
      </w:r>
      <w:r w:rsidRPr="007C19F0">
        <w:rPr>
          <w:sz w:val="16"/>
          <w:szCs w:val="16"/>
        </w:rPr>
        <w:t>Условия оплаты</w:t>
      </w:r>
      <w:r>
        <w:rPr>
          <w:sz w:val="16"/>
          <w:szCs w:val="16"/>
        </w:rPr>
        <w:t>.</w:t>
      </w:r>
    </w:p>
  </w:footnote>
  <w:footnote w:id="4">
    <w:p w:rsidR="00B14D47" w:rsidRDefault="00B14D47" w:rsidP="00B14D47">
      <w:pPr>
        <w:pStyle w:val="a8"/>
      </w:pPr>
      <w:r>
        <w:rPr>
          <w:rStyle w:val="aa"/>
        </w:rPr>
        <w:footnoteRef/>
      </w:r>
      <w:r>
        <w:t xml:space="preserve"> </w:t>
      </w:r>
      <w:r w:rsidRPr="009F59A5">
        <w:rPr>
          <w:sz w:val="16"/>
          <w:szCs w:val="16"/>
        </w:rPr>
        <w:t>Оценивается как форма обеспечения обязательств</w:t>
      </w:r>
      <w:r>
        <w:rPr>
          <w:sz w:val="16"/>
          <w:szCs w:val="16"/>
        </w:rPr>
        <w:t xml:space="preserve"> поставщика.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06B" w:rsidRDefault="00A77BCA" w:rsidP="0006006B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i/>
      </w:rPr>
    </w:pPr>
  </w:p>
  <w:p w:rsidR="0006006B" w:rsidRDefault="00A77BCA" w:rsidP="0006006B">
    <w:pPr>
      <w:pBdr>
        <w:bottom w:val="single" w:sz="4" w:space="1" w:color="auto"/>
      </w:pBdr>
      <w:tabs>
        <w:tab w:val="center" w:pos="4153"/>
        <w:tab w:val="right" w:pos="8306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D55A6"/>
    <w:multiLevelType w:val="hybridMultilevel"/>
    <w:tmpl w:val="969C768A"/>
    <w:lvl w:ilvl="0" w:tplc="E7B25BA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325F3"/>
    <w:multiLevelType w:val="hybridMultilevel"/>
    <w:tmpl w:val="9146AD36"/>
    <w:lvl w:ilvl="0" w:tplc="FFFFFFFF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47"/>
    <w:rsid w:val="0000187C"/>
    <w:rsid w:val="0000218B"/>
    <w:rsid w:val="00002A76"/>
    <w:rsid w:val="000032EB"/>
    <w:rsid w:val="000035FC"/>
    <w:rsid w:val="000036B4"/>
    <w:rsid w:val="00004EF2"/>
    <w:rsid w:val="000074AB"/>
    <w:rsid w:val="000104D2"/>
    <w:rsid w:val="0001445A"/>
    <w:rsid w:val="00022F38"/>
    <w:rsid w:val="0002490B"/>
    <w:rsid w:val="00031D99"/>
    <w:rsid w:val="000338C4"/>
    <w:rsid w:val="000357E9"/>
    <w:rsid w:val="00035D92"/>
    <w:rsid w:val="00035F51"/>
    <w:rsid w:val="00036091"/>
    <w:rsid w:val="00036A87"/>
    <w:rsid w:val="00036B24"/>
    <w:rsid w:val="00042689"/>
    <w:rsid w:val="00042F3A"/>
    <w:rsid w:val="000430F0"/>
    <w:rsid w:val="00044CCE"/>
    <w:rsid w:val="0004650A"/>
    <w:rsid w:val="00046552"/>
    <w:rsid w:val="0004697F"/>
    <w:rsid w:val="0005097F"/>
    <w:rsid w:val="00050B31"/>
    <w:rsid w:val="000511DB"/>
    <w:rsid w:val="0005233D"/>
    <w:rsid w:val="00052C3B"/>
    <w:rsid w:val="000546AA"/>
    <w:rsid w:val="00056BCF"/>
    <w:rsid w:val="00057772"/>
    <w:rsid w:val="00060EE9"/>
    <w:rsid w:val="00061C81"/>
    <w:rsid w:val="000627A5"/>
    <w:rsid w:val="00062CC5"/>
    <w:rsid w:val="00064A7F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74D0"/>
    <w:rsid w:val="00080A91"/>
    <w:rsid w:val="00083795"/>
    <w:rsid w:val="00083D22"/>
    <w:rsid w:val="000847EC"/>
    <w:rsid w:val="000848B8"/>
    <w:rsid w:val="000872D6"/>
    <w:rsid w:val="00087696"/>
    <w:rsid w:val="00091BA3"/>
    <w:rsid w:val="00093665"/>
    <w:rsid w:val="000948CF"/>
    <w:rsid w:val="00094D43"/>
    <w:rsid w:val="00095B6B"/>
    <w:rsid w:val="00096AB1"/>
    <w:rsid w:val="000A0504"/>
    <w:rsid w:val="000A52B3"/>
    <w:rsid w:val="000A6796"/>
    <w:rsid w:val="000A73C3"/>
    <w:rsid w:val="000A758D"/>
    <w:rsid w:val="000A7DA6"/>
    <w:rsid w:val="000B040F"/>
    <w:rsid w:val="000B292B"/>
    <w:rsid w:val="000B4A3D"/>
    <w:rsid w:val="000B5007"/>
    <w:rsid w:val="000B5D57"/>
    <w:rsid w:val="000B6D47"/>
    <w:rsid w:val="000C13A1"/>
    <w:rsid w:val="000C1D7B"/>
    <w:rsid w:val="000C3DB2"/>
    <w:rsid w:val="000C412B"/>
    <w:rsid w:val="000C4D7D"/>
    <w:rsid w:val="000C54DE"/>
    <w:rsid w:val="000C65F3"/>
    <w:rsid w:val="000C6F60"/>
    <w:rsid w:val="000C73DC"/>
    <w:rsid w:val="000D0F05"/>
    <w:rsid w:val="000D34B4"/>
    <w:rsid w:val="000D596F"/>
    <w:rsid w:val="000E4957"/>
    <w:rsid w:val="000E4963"/>
    <w:rsid w:val="000F0174"/>
    <w:rsid w:val="000F018D"/>
    <w:rsid w:val="000F1B97"/>
    <w:rsid w:val="000F3285"/>
    <w:rsid w:val="000F34C4"/>
    <w:rsid w:val="00100D46"/>
    <w:rsid w:val="00101F2C"/>
    <w:rsid w:val="00104018"/>
    <w:rsid w:val="00104B61"/>
    <w:rsid w:val="001053C9"/>
    <w:rsid w:val="00105B0E"/>
    <w:rsid w:val="00107107"/>
    <w:rsid w:val="00107509"/>
    <w:rsid w:val="00111304"/>
    <w:rsid w:val="00111F6E"/>
    <w:rsid w:val="001136CD"/>
    <w:rsid w:val="00113D7C"/>
    <w:rsid w:val="00115C0B"/>
    <w:rsid w:val="0011752A"/>
    <w:rsid w:val="00117BDC"/>
    <w:rsid w:val="0012105B"/>
    <w:rsid w:val="001245DD"/>
    <w:rsid w:val="00127572"/>
    <w:rsid w:val="001313A1"/>
    <w:rsid w:val="0013235D"/>
    <w:rsid w:val="001355BC"/>
    <w:rsid w:val="0013793F"/>
    <w:rsid w:val="00140471"/>
    <w:rsid w:val="00140835"/>
    <w:rsid w:val="001417C0"/>
    <w:rsid w:val="00141FEC"/>
    <w:rsid w:val="00151F4E"/>
    <w:rsid w:val="0015250C"/>
    <w:rsid w:val="00152984"/>
    <w:rsid w:val="00152B3A"/>
    <w:rsid w:val="001542D4"/>
    <w:rsid w:val="001577D8"/>
    <w:rsid w:val="00161867"/>
    <w:rsid w:val="0016439B"/>
    <w:rsid w:val="00164A8D"/>
    <w:rsid w:val="001652F2"/>
    <w:rsid w:val="0016760F"/>
    <w:rsid w:val="00171B1A"/>
    <w:rsid w:val="001724A4"/>
    <w:rsid w:val="00174D14"/>
    <w:rsid w:val="00175B85"/>
    <w:rsid w:val="001762EC"/>
    <w:rsid w:val="00176B03"/>
    <w:rsid w:val="00183168"/>
    <w:rsid w:val="00186560"/>
    <w:rsid w:val="0018684F"/>
    <w:rsid w:val="00190192"/>
    <w:rsid w:val="00190670"/>
    <w:rsid w:val="0019375B"/>
    <w:rsid w:val="00193B04"/>
    <w:rsid w:val="00193B57"/>
    <w:rsid w:val="00193EFD"/>
    <w:rsid w:val="00197B93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7006"/>
    <w:rsid w:val="001C1E79"/>
    <w:rsid w:val="001C5253"/>
    <w:rsid w:val="001C527B"/>
    <w:rsid w:val="001C607B"/>
    <w:rsid w:val="001C6470"/>
    <w:rsid w:val="001C672C"/>
    <w:rsid w:val="001C796B"/>
    <w:rsid w:val="001D156F"/>
    <w:rsid w:val="001D22C9"/>
    <w:rsid w:val="001D24A2"/>
    <w:rsid w:val="001D3182"/>
    <w:rsid w:val="001D3E6A"/>
    <w:rsid w:val="001D47EF"/>
    <w:rsid w:val="001D5237"/>
    <w:rsid w:val="001D571C"/>
    <w:rsid w:val="001D73D6"/>
    <w:rsid w:val="001D7BB8"/>
    <w:rsid w:val="001E11B4"/>
    <w:rsid w:val="001E17AE"/>
    <w:rsid w:val="001E2891"/>
    <w:rsid w:val="001E4563"/>
    <w:rsid w:val="001E49EE"/>
    <w:rsid w:val="001E56DA"/>
    <w:rsid w:val="001F1E0B"/>
    <w:rsid w:val="001F23C4"/>
    <w:rsid w:val="001F3E43"/>
    <w:rsid w:val="001F7410"/>
    <w:rsid w:val="002018B4"/>
    <w:rsid w:val="00207084"/>
    <w:rsid w:val="00211242"/>
    <w:rsid w:val="00211D3D"/>
    <w:rsid w:val="00213A80"/>
    <w:rsid w:val="002174A3"/>
    <w:rsid w:val="00217A8F"/>
    <w:rsid w:val="0022219F"/>
    <w:rsid w:val="0022441A"/>
    <w:rsid w:val="00224CE2"/>
    <w:rsid w:val="002261C1"/>
    <w:rsid w:val="00226968"/>
    <w:rsid w:val="00226F65"/>
    <w:rsid w:val="00227018"/>
    <w:rsid w:val="00230C09"/>
    <w:rsid w:val="00233123"/>
    <w:rsid w:val="002336D7"/>
    <w:rsid w:val="00236637"/>
    <w:rsid w:val="002379B8"/>
    <w:rsid w:val="00237C4A"/>
    <w:rsid w:val="002413AB"/>
    <w:rsid w:val="002428BF"/>
    <w:rsid w:val="00244F80"/>
    <w:rsid w:val="00245F3B"/>
    <w:rsid w:val="00250857"/>
    <w:rsid w:val="00251224"/>
    <w:rsid w:val="00251F6A"/>
    <w:rsid w:val="002542C1"/>
    <w:rsid w:val="002551F7"/>
    <w:rsid w:val="002575FA"/>
    <w:rsid w:val="00261CE4"/>
    <w:rsid w:val="00262D0D"/>
    <w:rsid w:val="00263B14"/>
    <w:rsid w:val="00263B8A"/>
    <w:rsid w:val="002643FD"/>
    <w:rsid w:val="00264752"/>
    <w:rsid w:val="00264FB9"/>
    <w:rsid w:val="002657D3"/>
    <w:rsid w:val="00266610"/>
    <w:rsid w:val="002700D6"/>
    <w:rsid w:val="002715D8"/>
    <w:rsid w:val="0027394A"/>
    <w:rsid w:val="002739C4"/>
    <w:rsid w:val="002750C4"/>
    <w:rsid w:val="00276CF7"/>
    <w:rsid w:val="00281874"/>
    <w:rsid w:val="00283D86"/>
    <w:rsid w:val="00283F73"/>
    <w:rsid w:val="002845EB"/>
    <w:rsid w:val="00284BED"/>
    <w:rsid w:val="002866E6"/>
    <w:rsid w:val="00292F35"/>
    <w:rsid w:val="002935F6"/>
    <w:rsid w:val="00294734"/>
    <w:rsid w:val="0029590A"/>
    <w:rsid w:val="00295AB9"/>
    <w:rsid w:val="002A2530"/>
    <w:rsid w:val="002A342F"/>
    <w:rsid w:val="002A4AEC"/>
    <w:rsid w:val="002A6D9B"/>
    <w:rsid w:val="002A7FE0"/>
    <w:rsid w:val="002B1C9D"/>
    <w:rsid w:val="002B2253"/>
    <w:rsid w:val="002B2D9C"/>
    <w:rsid w:val="002B4D9C"/>
    <w:rsid w:val="002B6BC9"/>
    <w:rsid w:val="002B7C65"/>
    <w:rsid w:val="002C09F8"/>
    <w:rsid w:val="002C4565"/>
    <w:rsid w:val="002C5102"/>
    <w:rsid w:val="002C5AC2"/>
    <w:rsid w:val="002D1681"/>
    <w:rsid w:val="002D17AE"/>
    <w:rsid w:val="002D2789"/>
    <w:rsid w:val="002D3F54"/>
    <w:rsid w:val="002D4796"/>
    <w:rsid w:val="002D7BB3"/>
    <w:rsid w:val="002E1D5C"/>
    <w:rsid w:val="002E2072"/>
    <w:rsid w:val="002E2344"/>
    <w:rsid w:val="002F03F9"/>
    <w:rsid w:val="002F382E"/>
    <w:rsid w:val="002F40D0"/>
    <w:rsid w:val="002F4782"/>
    <w:rsid w:val="002F525C"/>
    <w:rsid w:val="002F532F"/>
    <w:rsid w:val="002F5EE8"/>
    <w:rsid w:val="002F728F"/>
    <w:rsid w:val="00301BDC"/>
    <w:rsid w:val="00303879"/>
    <w:rsid w:val="00303E2A"/>
    <w:rsid w:val="00304143"/>
    <w:rsid w:val="00304847"/>
    <w:rsid w:val="00305A23"/>
    <w:rsid w:val="0030735A"/>
    <w:rsid w:val="00311324"/>
    <w:rsid w:val="003114A7"/>
    <w:rsid w:val="00312296"/>
    <w:rsid w:val="00313EE4"/>
    <w:rsid w:val="00315F20"/>
    <w:rsid w:val="00316A19"/>
    <w:rsid w:val="00317114"/>
    <w:rsid w:val="0032004F"/>
    <w:rsid w:val="003216B1"/>
    <w:rsid w:val="00322086"/>
    <w:rsid w:val="003220B1"/>
    <w:rsid w:val="003223A6"/>
    <w:rsid w:val="003223C9"/>
    <w:rsid w:val="00323D38"/>
    <w:rsid w:val="003261B2"/>
    <w:rsid w:val="00330423"/>
    <w:rsid w:val="00331086"/>
    <w:rsid w:val="00332869"/>
    <w:rsid w:val="00332A26"/>
    <w:rsid w:val="00337B98"/>
    <w:rsid w:val="00341B70"/>
    <w:rsid w:val="00343D0F"/>
    <w:rsid w:val="00344585"/>
    <w:rsid w:val="00344994"/>
    <w:rsid w:val="00345E37"/>
    <w:rsid w:val="0035127E"/>
    <w:rsid w:val="00351E02"/>
    <w:rsid w:val="003610EA"/>
    <w:rsid w:val="00363472"/>
    <w:rsid w:val="00366372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796C"/>
    <w:rsid w:val="003907BD"/>
    <w:rsid w:val="003922C5"/>
    <w:rsid w:val="00393E37"/>
    <w:rsid w:val="00395822"/>
    <w:rsid w:val="003958BE"/>
    <w:rsid w:val="003976E2"/>
    <w:rsid w:val="003A15BB"/>
    <w:rsid w:val="003A186A"/>
    <w:rsid w:val="003A27DC"/>
    <w:rsid w:val="003A7097"/>
    <w:rsid w:val="003B05BE"/>
    <w:rsid w:val="003B0EDC"/>
    <w:rsid w:val="003B4E5A"/>
    <w:rsid w:val="003B7039"/>
    <w:rsid w:val="003C0216"/>
    <w:rsid w:val="003C0389"/>
    <w:rsid w:val="003C3705"/>
    <w:rsid w:val="003C3C8E"/>
    <w:rsid w:val="003C5422"/>
    <w:rsid w:val="003C5C92"/>
    <w:rsid w:val="003D05DD"/>
    <w:rsid w:val="003D0871"/>
    <w:rsid w:val="003D1281"/>
    <w:rsid w:val="003D2BB6"/>
    <w:rsid w:val="003D4188"/>
    <w:rsid w:val="003D4C17"/>
    <w:rsid w:val="003D51E6"/>
    <w:rsid w:val="003D6902"/>
    <w:rsid w:val="003E11A5"/>
    <w:rsid w:val="003E2455"/>
    <w:rsid w:val="003E329F"/>
    <w:rsid w:val="003E3DE3"/>
    <w:rsid w:val="003E4459"/>
    <w:rsid w:val="003E5940"/>
    <w:rsid w:val="003E5BFE"/>
    <w:rsid w:val="003E6FD4"/>
    <w:rsid w:val="003E7EB7"/>
    <w:rsid w:val="003F064C"/>
    <w:rsid w:val="003F0BAF"/>
    <w:rsid w:val="003F1652"/>
    <w:rsid w:val="003F301D"/>
    <w:rsid w:val="003F336B"/>
    <w:rsid w:val="003F3D6E"/>
    <w:rsid w:val="003F3FE1"/>
    <w:rsid w:val="003F4B19"/>
    <w:rsid w:val="003F5A23"/>
    <w:rsid w:val="004025A4"/>
    <w:rsid w:val="00402B9F"/>
    <w:rsid w:val="00403730"/>
    <w:rsid w:val="00403952"/>
    <w:rsid w:val="00404663"/>
    <w:rsid w:val="00407951"/>
    <w:rsid w:val="00414EAF"/>
    <w:rsid w:val="004150EA"/>
    <w:rsid w:val="004150F6"/>
    <w:rsid w:val="00421FDC"/>
    <w:rsid w:val="004231B5"/>
    <w:rsid w:val="0042788D"/>
    <w:rsid w:val="00431A52"/>
    <w:rsid w:val="004345FE"/>
    <w:rsid w:val="004362D0"/>
    <w:rsid w:val="0043747A"/>
    <w:rsid w:val="0043782E"/>
    <w:rsid w:val="00437B16"/>
    <w:rsid w:val="00437E34"/>
    <w:rsid w:val="0044032B"/>
    <w:rsid w:val="00441742"/>
    <w:rsid w:val="00442E1B"/>
    <w:rsid w:val="00443003"/>
    <w:rsid w:val="00445379"/>
    <w:rsid w:val="004454E1"/>
    <w:rsid w:val="004460A7"/>
    <w:rsid w:val="00446BD6"/>
    <w:rsid w:val="004501B1"/>
    <w:rsid w:val="004514E4"/>
    <w:rsid w:val="00453BDC"/>
    <w:rsid w:val="00454392"/>
    <w:rsid w:val="00456B73"/>
    <w:rsid w:val="00457CFA"/>
    <w:rsid w:val="00460269"/>
    <w:rsid w:val="004611FE"/>
    <w:rsid w:val="00462EBE"/>
    <w:rsid w:val="00465649"/>
    <w:rsid w:val="004718C4"/>
    <w:rsid w:val="00471907"/>
    <w:rsid w:val="00471EAA"/>
    <w:rsid w:val="00471FA1"/>
    <w:rsid w:val="004725FA"/>
    <w:rsid w:val="00472FEE"/>
    <w:rsid w:val="004730E0"/>
    <w:rsid w:val="00474CB4"/>
    <w:rsid w:val="00474F69"/>
    <w:rsid w:val="00475470"/>
    <w:rsid w:val="00475C62"/>
    <w:rsid w:val="004762B4"/>
    <w:rsid w:val="004816EC"/>
    <w:rsid w:val="00481AC7"/>
    <w:rsid w:val="00482580"/>
    <w:rsid w:val="004825FB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E9B"/>
    <w:rsid w:val="004A3DB1"/>
    <w:rsid w:val="004A6059"/>
    <w:rsid w:val="004A6549"/>
    <w:rsid w:val="004B2E34"/>
    <w:rsid w:val="004B43BA"/>
    <w:rsid w:val="004B4582"/>
    <w:rsid w:val="004B4EE6"/>
    <w:rsid w:val="004B64ED"/>
    <w:rsid w:val="004B66B3"/>
    <w:rsid w:val="004C1DF5"/>
    <w:rsid w:val="004C51E6"/>
    <w:rsid w:val="004C7D9E"/>
    <w:rsid w:val="004D2060"/>
    <w:rsid w:val="004D2908"/>
    <w:rsid w:val="004D519F"/>
    <w:rsid w:val="004D5FC6"/>
    <w:rsid w:val="004D6535"/>
    <w:rsid w:val="004E0798"/>
    <w:rsid w:val="004E245F"/>
    <w:rsid w:val="004F2AD0"/>
    <w:rsid w:val="004F2CCA"/>
    <w:rsid w:val="004F2E33"/>
    <w:rsid w:val="004F59EC"/>
    <w:rsid w:val="004F5ABD"/>
    <w:rsid w:val="004F6680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679A"/>
    <w:rsid w:val="00517261"/>
    <w:rsid w:val="005173B3"/>
    <w:rsid w:val="005173DD"/>
    <w:rsid w:val="0052003A"/>
    <w:rsid w:val="00521C73"/>
    <w:rsid w:val="00522893"/>
    <w:rsid w:val="00523927"/>
    <w:rsid w:val="0052652A"/>
    <w:rsid w:val="005333F6"/>
    <w:rsid w:val="00533801"/>
    <w:rsid w:val="00534F60"/>
    <w:rsid w:val="0053524B"/>
    <w:rsid w:val="005379CB"/>
    <w:rsid w:val="00541AEA"/>
    <w:rsid w:val="005430C1"/>
    <w:rsid w:val="00544393"/>
    <w:rsid w:val="00544F8D"/>
    <w:rsid w:val="00546262"/>
    <w:rsid w:val="0054760E"/>
    <w:rsid w:val="005506A1"/>
    <w:rsid w:val="00550CFC"/>
    <w:rsid w:val="00550EBF"/>
    <w:rsid w:val="005514CE"/>
    <w:rsid w:val="00554BE9"/>
    <w:rsid w:val="00554C2C"/>
    <w:rsid w:val="00554F90"/>
    <w:rsid w:val="0055675F"/>
    <w:rsid w:val="00557AA7"/>
    <w:rsid w:val="0056021C"/>
    <w:rsid w:val="00560349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58A6"/>
    <w:rsid w:val="0058338C"/>
    <w:rsid w:val="00583C3C"/>
    <w:rsid w:val="00583EBB"/>
    <w:rsid w:val="00584F65"/>
    <w:rsid w:val="00584FD0"/>
    <w:rsid w:val="00585B38"/>
    <w:rsid w:val="00586A1A"/>
    <w:rsid w:val="00586B2A"/>
    <w:rsid w:val="00587AB2"/>
    <w:rsid w:val="00587B23"/>
    <w:rsid w:val="00591D48"/>
    <w:rsid w:val="005920B5"/>
    <w:rsid w:val="00594AF4"/>
    <w:rsid w:val="00595AA8"/>
    <w:rsid w:val="0059651D"/>
    <w:rsid w:val="00596FEB"/>
    <w:rsid w:val="005A14E7"/>
    <w:rsid w:val="005A39F6"/>
    <w:rsid w:val="005A7401"/>
    <w:rsid w:val="005A7B1B"/>
    <w:rsid w:val="005B0593"/>
    <w:rsid w:val="005B1404"/>
    <w:rsid w:val="005B149E"/>
    <w:rsid w:val="005B2C10"/>
    <w:rsid w:val="005B4FD4"/>
    <w:rsid w:val="005B60EC"/>
    <w:rsid w:val="005C00EC"/>
    <w:rsid w:val="005C312B"/>
    <w:rsid w:val="005C3589"/>
    <w:rsid w:val="005C37D8"/>
    <w:rsid w:val="005C4BB6"/>
    <w:rsid w:val="005D0BC2"/>
    <w:rsid w:val="005D3305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84B"/>
    <w:rsid w:val="005F3C06"/>
    <w:rsid w:val="005F4CF8"/>
    <w:rsid w:val="005F5B02"/>
    <w:rsid w:val="005F5BD1"/>
    <w:rsid w:val="005F675E"/>
    <w:rsid w:val="005F7A7A"/>
    <w:rsid w:val="0060012C"/>
    <w:rsid w:val="0060255B"/>
    <w:rsid w:val="00605917"/>
    <w:rsid w:val="00606881"/>
    <w:rsid w:val="0060697C"/>
    <w:rsid w:val="00606B70"/>
    <w:rsid w:val="0060777C"/>
    <w:rsid w:val="006107B8"/>
    <w:rsid w:val="006111CE"/>
    <w:rsid w:val="00612456"/>
    <w:rsid w:val="006132A9"/>
    <w:rsid w:val="0061567A"/>
    <w:rsid w:val="00615F7A"/>
    <w:rsid w:val="00616096"/>
    <w:rsid w:val="0061797F"/>
    <w:rsid w:val="0062249A"/>
    <w:rsid w:val="0062284E"/>
    <w:rsid w:val="00624780"/>
    <w:rsid w:val="006248AF"/>
    <w:rsid w:val="006276DF"/>
    <w:rsid w:val="00630C80"/>
    <w:rsid w:val="00633557"/>
    <w:rsid w:val="006337F0"/>
    <w:rsid w:val="00633EAA"/>
    <w:rsid w:val="00635453"/>
    <w:rsid w:val="00636FCE"/>
    <w:rsid w:val="0063771C"/>
    <w:rsid w:val="0064005C"/>
    <w:rsid w:val="00642319"/>
    <w:rsid w:val="00642706"/>
    <w:rsid w:val="00644640"/>
    <w:rsid w:val="006447EE"/>
    <w:rsid w:val="00646B23"/>
    <w:rsid w:val="00647331"/>
    <w:rsid w:val="00647449"/>
    <w:rsid w:val="0065326A"/>
    <w:rsid w:val="006532CD"/>
    <w:rsid w:val="00654752"/>
    <w:rsid w:val="0065526D"/>
    <w:rsid w:val="00655299"/>
    <w:rsid w:val="0065629C"/>
    <w:rsid w:val="006579C2"/>
    <w:rsid w:val="00661618"/>
    <w:rsid w:val="0066422E"/>
    <w:rsid w:val="006645A1"/>
    <w:rsid w:val="0066649E"/>
    <w:rsid w:val="00667A17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534"/>
    <w:rsid w:val="006838FA"/>
    <w:rsid w:val="00684754"/>
    <w:rsid w:val="0068561D"/>
    <w:rsid w:val="00686D05"/>
    <w:rsid w:val="00686D1C"/>
    <w:rsid w:val="006938AA"/>
    <w:rsid w:val="00693906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3512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20BD"/>
    <w:rsid w:val="006D2CD6"/>
    <w:rsid w:val="006D5A4B"/>
    <w:rsid w:val="006D7109"/>
    <w:rsid w:val="006E1445"/>
    <w:rsid w:val="006E1C27"/>
    <w:rsid w:val="006E2B3A"/>
    <w:rsid w:val="006E30A7"/>
    <w:rsid w:val="006E3DC2"/>
    <w:rsid w:val="006E3E97"/>
    <w:rsid w:val="006E4A60"/>
    <w:rsid w:val="006E4AF9"/>
    <w:rsid w:val="006E6E1F"/>
    <w:rsid w:val="006E7120"/>
    <w:rsid w:val="006F165A"/>
    <w:rsid w:val="006F2193"/>
    <w:rsid w:val="006F3B93"/>
    <w:rsid w:val="006F5033"/>
    <w:rsid w:val="006F5054"/>
    <w:rsid w:val="006F55C4"/>
    <w:rsid w:val="006F63F2"/>
    <w:rsid w:val="007005D7"/>
    <w:rsid w:val="007013E5"/>
    <w:rsid w:val="0070263D"/>
    <w:rsid w:val="00702B9B"/>
    <w:rsid w:val="00704ED1"/>
    <w:rsid w:val="0071677D"/>
    <w:rsid w:val="00716D42"/>
    <w:rsid w:val="007173DC"/>
    <w:rsid w:val="00717F03"/>
    <w:rsid w:val="0072066E"/>
    <w:rsid w:val="00720F3D"/>
    <w:rsid w:val="00725B52"/>
    <w:rsid w:val="0073171B"/>
    <w:rsid w:val="00732C4F"/>
    <w:rsid w:val="00734750"/>
    <w:rsid w:val="007402EA"/>
    <w:rsid w:val="00740A3F"/>
    <w:rsid w:val="0074151A"/>
    <w:rsid w:val="00742F3C"/>
    <w:rsid w:val="00747548"/>
    <w:rsid w:val="00747E38"/>
    <w:rsid w:val="00750226"/>
    <w:rsid w:val="00752A12"/>
    <w:rsid w:val="00753898"/>
    <w:rsid w:val="007632EB"/>
    <w:rsid w:val="00763D09"/>
    <w:rsid w:val="00765302"/>
    <w:rsid w:val="00766221"/>
    <w:rsid w:val="00766454"/>
    <w:rsid w:val="007664F1"/>
    <w:rsid w:val="0076694B"/>
    <w:rsid w:val="00766F57"/>
    <w:rsid w:val="007676D8"/>
    <w:rsid w:val="00770CC5"/>
    <w:rsid w:val="00771014"/>
    <w:rsid w:val="007718B9"/>
    <w:rsid w:val="00771BA7"/>
    <w:rsid w:val="0077236D"/>
    <w:rsid w:val="00772A57"/>
    <w:rsid w:val="007810C3"/>
    <w:rsid w:val="00787C41"/>
    <w:rsid w:val="00790469"/>
    <w:rsid w:val="00791D84"/>
    <w:rsid w:val="007A04D0"/>
    <w:rsid w:val="007A0534"/>
    <w:rsid w:val="007A074C"/>
    <w:rsid w:val="007A5905"/>
    <w:rsid w:val="007A7F33"/>
    <w:rsid w:val="007B28BB"/>
    <w:rsid w:val="007B5B08"/>
    <w:rsid w:val="007B6035"/>
    <w:rsid w:val="007B65CB"/>
    <w:rsid w:val="007B6ED7"/>
    <w:rsid w:val="007C23D4"/>
    <w:rsid w:val="007C4496"/>
    <w:rsid w:val="007C4915"/>
    <w:rsid w:val="007C4CB9"/>
    <w:rsid w:val="007C5F0B"/>
    <w:rsid w:val="007D1516"/>
    <w:rsid w:val="007D2DBC"/>
    <w:rsid w:val="007D39A8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5D6B"/>
    <w:rsid w:val="008069F7"/>
    <w:rsid w:val="00810AA1"/>
    <w:rsid w:val="00811B07"/>
    <w:rsid w:val="008120D5"/>
    <w:rsid w:val="00812D5C"/>
    <w:rsid w:val="0081339C"/>
    <w:rsid w:val="00813D2C"/>
    <w:rsid w:val="00816493"/>
    <w:rsid w:val="00816731"/>
    <w:rsid w:val="00816CC0"/>
    <w:rsid w:val="00820998"/>
    <w:rsid w:val="00822E54"/>
    <w:rsid w:val="00823E01"/>
    <w:rsid w:val="0082430F"/>
    <w:rsid w:val="00825683"/>
    <w:rsid w:val="0082582B"/>
    <w:rsid w:val="0082696C"/>
    <w:rsid w:val="00826A09"/>
    <w:rsid w:val="00831F62"/>
    <w:rsid w:val="00832022"/>
    <w:rsid w:val="008324B7"/>
    <w:rsid w:val="008342E6"/>
    <w:rsid w:val="00835584"/>
    <w:rsid w:val="00840810"/>
    <w:rsid w:val="0084319B"/>
    <w:rsid w:val="0084353E"/>
    <w:rsid w:val="00847A1F"/>
    <w:rsid w:val="00847A7A"/>
    <w:rsid w:val="0085175C"/>
    <w:rsid w:val="008545ED"/>
    <w:rsid w:val="0085501B"/>
    <w:rsid w:val="00856095"/>
    <w:rsid w:val="00856AA9"/>
    <w:rsid w:val="00856D1F"/>
    <w:rsid w:val="00860541"/>
    <w:rsid w:val="00863C46"/>
    <w:rsid w:val="008659D9"/>
    <w:rsid w:val="00865C3D"/>
    <w:rsid w:val="00865F0E"/>
    <w:rsid w:val="00867531"/>
    <w:rsid w:val="008677C6"/>
    <w:rsid w:val="00871086"/>
    <w:rsid w:val="008715CC"/>
    <w:rsid w:val="00871E5B"/>
    <w:rsid w:val="008747C4"/>
    <w:rsid w:val="0087491E"/>
    <w:rsid w:val="00875168"/>
    <w:rsid w:val="00875CE2"/>
    <w:rsid w:val="00876832"/>
    <w:rsid w:val="0088291F"/>
    <w:rsid w:val="00884252"/>
    <w:rsid w:val="008844D5"/>
    <w:rsid w:val="00885133"/>
    <w:rsid w:val="00886FE3"/>
    <w:rsid w:val="008920A1"/>
    <w:rsid w:val="008934E8"/>
    <w:rsid w:val="00893A76"/>
    <w:rsid w:val="008944F1"/>
    <w:rsid w:val="00894D22"/>
    <w:rsid w:val="00896327"/>
    <w:rsid w:val="0089632D"/>
    <w:rsid w:val="00896FA5"/>
    <w:rsid w:val="00897328"/>
    <w:rsid w:val="008A1D23"/>
    <w:rsid w:val="008A1E0D"/>
    <w:rsid w:val="008A2375"/>
    <w:rsid w:val="008A24FA"/>
    <w:rsid w:val="008A3A39"/>
    <w:rsid w:val="008A4CAC"/>
    <w:rsid w:val="008B0C1C"/>
    <w:rsid w:val="008B726F"/>
    <w:rsid w:val="008B78F8"/>
    <w:rsid w:val="008C110F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5AFD"/>
    <w:rsid w:val="008D74B7"/>
    <w:rsid w:val="008E1977"/>
    <w:rsid w:val="008E5EDD"/>
    <w:rsid w:val="008E5F53"/>
    <w:rsid w:val="008E6A79"/>
    <w:rsid w:val="008F1374"/>
    <w:rsid w:val="008F15F1"/>
    <w:rsid w:val="008F1615"/>
    <w:rsid w:val="008F223A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3634"/>
    <w:rsid w:val="00915750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71ED"/>
    <w:rsid w:val="00941950"/>
    <w:rsid w:val="00941952"/>
    <w:rsid w:val="00944044"/>
    <w:rsid w:val="0094666F"/>
    <w:rsid w:val="00946BA8"/>
    <w:rsid w:val="00950605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2C3C"/>
    <w:rsid w:val="009953E8"/>
    <w:rsid w:val="00995899"/>
    <w:rsid w:val="009960EA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7C34"/>
    <w:rsid w:val="009D0309"/>
    <w:rsid w:val="009D20F4"/>
    <w:rsid w:val="009D5846"/>
    <w:rsid w:val="009D7D8C"/>
    <w:rsid w:val="009E2579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BB1"/>
    <w:rsid w:val="009F6CF7"/>
    <w:rsid w:val="009F748E"/>
    <w:rsid w:val="00A01931"/>
    <w:rsid w:val="00A030DD"/>
    <w:rsid w:val="00A03797"/>
    <w:rsid w:val="00A044D8"/>
    <w:rsid w:val="00A04BD3"/>
    <w:rsid w:val="00A056A9"/>
    <w:rsid w:val="00A058A3"/>
    <w:rsid w:val="00A05E69"/>
    <w:rsid w:val="00A11114"/>
    <w:rsid w:val="00A11376"/>
    <w:rsid w:val="00A11E28"/>
    <w:rsid w:val="00A12298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2EDA"/>
    <w:rsid w:val="00A23D2C"/>
    <w:rsid w:val="00A24F92"/>
    <w:rsid w:val="00A25FDE"/>
    <w:rsid w:val="00A260E9"/>
    <w:rsid w:val="00A27A28"/>
    <w:rsid w:val="00A31068"/>
    <w:rsid w:val="00A32491"/>
    <w:rsid w:val="00A32618"/>
    <w:rsid w:val="00A34EC9"/>
    <w:rsid w:val="00A35CB0"/>
    <w:rsid w:val="00A36221"/>
    <w:rsid w:val="00A36BB8"/>
    <w:rsid w:val="00A37BA0"/>
    <w:rsid w:val="00A406C1"/>
    <w:rsid w:val="00A407CB"/>
    <w:rsid w:val="00A40A8F"/>
    <w:rsid w:val="00A41403"/>
    <w:rsid w:val="00A46534"/>
    <w:rsid w:val="00A46D24"/>
    <w:rsid w:val="00A51324"/>
    <w:rsid w:val="00A51C00"/>
    <w:rsid w:val="00A554DF"/>
    <w:rsid w:val="00A61736"/>
    <w:rsid w:val="00A623D8"/>
    <w:rsid w:val="00A627BE"/>
    <w:rsid w:val="00A62DF2"/>
    <w:rsid w:val="00A62F87"/>
    <w:rsid w:val="00A63E4F"/>
    <w:rsid w:val="00A640CE"/>
    <w:rsid w:val="00A65776"/>
    <w:rsid w:val="00A7557C"/>
    <w:rsid w:val="00A759E9"/>
    <w:rsid w:val="00A762A5"/>
    <w:rsid w:val="00A77BCA"/>
    <w:rsid w:val="00A8100F"/>
    <w:rsid w:val="00A8725C"/>
    <w:rsid w:val="00A87F8C"/>
    <w:rsid w:val="00A9023A"/>
    <w:rsid w:val="00A90317"/>
    <w:rsid w:val="00A9341C"/>
    <w:rsid w:val="00A94707"/>
    <w:rsid w:val="00A94756"/>
    <w:rsid w:val="00A96435"/>
    <w:rsid w:val="00A97DCA"/>
    <w:rsid w:val="00AA1256"/>
    <w:rsid w:val="00AA1529"/>
    <w:rsid w:val="00AA211D"/>
    <w:rsid w:val="00AA2AB1"/>
    <w:rsid w:val="00AA2E7A"/>
    <w:rsid w:val="00AA54DE"/>
    <w:rsid w:val="00AA590B"/>
    <w:rsid w:val="00AA6994"/>
    <w:rsid w:val="00AA7800"/>
    <w:rsid w:val="00AA7B94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7A1C"/>
    <w:rsid w:val="00AC102C"/>
    <w:rsid w:val="00AC2D9D"/>
    <w:rsid w:val="00AC2F6A"/>
    <w:rsid w:val="00AC3A09"/>
    <w:rsid w:val="00AC3FAA"/>
    <w:rsid w:val="00AC4DF0"/>
    <w:rsid w:val="00AC5D57"/>
    <w:rsid w:val="00AC617C"/>
    <w:rsid w:val="00AC6F59"/>
    <w:rsid w:val="00AC7727"/>
    <w:rsid w:val="00AD0D4F"/>
    <w:rsid w:val="00AD0E10"/>
    <w:rsid w:val="00AD381D"/>
    <w:rsid w:val="00AD4A3F"/>
    <w:rsid w:val="00AD6B79"/>
    <w:rsid w:val="00AD7918"/>
    <w:rsid w:val="00AE0118"/>
    <w:rsid w:val="00AE01F3"/>
    <w:rsid w:val="00AE0228"/>
    <w:rsid w:val="00AE08FC"/>
    <w:rsid w:val="00AE2629"/>
    <w:rsid w:val="00AE2E72"/>
    <w:rsid w:val="00AE5B78"/>
    <w:rsid w:val="00AE5EB2"/>
    <w:rsid w:val="00AF04E6"/>
    <w:rsid w:val="00AF221C"/>
    <w:rsid w:val="00AF2985"/>
    <w:rsid w:val="00AF3124"/>
    <w:rsid w:val="00AF51A7"/>
    <w:rsid w:val="00AF6A18"/>
    <w:rsid w:val="00B01CB5"/>
    <w:rsid w:val="00B062E9"/>
    <w:rsid w:val="00B138A1"/>
    <w:rsid w:val="00B14B59"/>
    <w:rsid w:val="00B14D47"/>
    <w:rsid w:val="00B16A8F"/>
    <w:rsid w:val="00B21D25"/>
    <w:rsid w:val="00B22102"/>
    <w:rsid w:val="00B22579"/>
    <w:rsid w:val="00B23F53"/>
    <w:rsid w:val="00B2670F"/>
    <w:rsid w:val="00B32D07"/>
    <w:rsid w:val="00B35325"/>
    <w:rsid w:val="00B416F6"/>
    <w:rsid w:val="00B43170"/>
    <w:rsid w:val="00B43356"/>
    <w:rsid w:val="00B44126"/>
    <w:rsid w:val="00B44606"/>
    <w:rsid w:val="00B44895"/>
    <w:rsid w:val="00B50CD2"/>
    <w:rsid w:val="00B53264"/>
    <w:rsid w:val="00B5478E"/>
    <w:rsid w:val="00B55D6F"/>
    <w:rsid w:val="00B60D2E"/>
    <w:rsid w:val="00B62621"/>
    <w:rsid w:val="00B633D9"/>
    <w:rsid w:val="00B656EF"/>
    <w:rsid w:val="00B65FCF"/>
    <w:rsid w:val="00B6720F"/>
    <w:rsid w:val="00B70161"/>
    <w:rsid w:val="00B719AC"/>
    <w:rsid w:val="00B73BD3"/>
    <w:rsid w:val="00B73F42"/>
    <w:rsid w:val="00B74061"/>
    <w:rsid w:val="00B76CD9"/>
    <w:rsid w:val="00B81055"/>
    <w:rsid w:val="00B81090"/>
    <w:rsid w:val="00B8240D"/>
    <w:rsid w:val="00B8419C"/>
    <w:rsid w:val="00B90F74"/>
    <w:rsid w:val="00B94706"/>
    <w:rsid w:val="00B965F8"/>
    <w:rsid w:val="00B9692D"/>
    <w:rsid w:val="00B97AFF"/>
    <w:rsid w:val="00BA117D"/>
    <w:rsid w:val="00BA37CF"/>
    <w:rsid w:val="00BA5259"/>
    <w:rsid w:val="00BA5724"/>
    <w:rsid w:val="00BA6579"/>
    <w:rsid w:val="00BA777A"/>
    <w:rsid w:val="00BA7EF9"/>
    <w:rsid w:val="00BB10F1"/>
    <w:rsid w:val="00BB2CBA"/>
    <w:rsid w:val="00BB41FC"/>
    <w:rsid w:val="00BB4921"/>
    <w:rsid w:val="00BB5130"/>
    <w:rsid w:val="00BB669A"/>
    <w:rsid w:val="00BB6742"/>
    <w:rsid w:val="00BC05E9"/>
    <w:rsid w:val="00BC0AE8"/>
    <w:rsid w:val="00BC114E"/>
    <w:rsid w:val="00BC3D10"/>
    <w:rsid w:val="00BC3D98"/>
    <w:rsid w:val="00BC4D70"/>
    <w:rsid w:val="00BC5624"/>
    <w:rsid w:val="00BC5DC4"/>
    <w:rsid w:val="00BC7368"/>
    <w:rsid w:val="00BD0532"/>
    <w:rsid w:val="00BD2889"/>
    <w:rsid w:val="00BD5603"/>
    <w:rsid w:val="00BD7431"/>
    <w:rsid w:val="00BE0287"/>
    <w:rsid w:val="00BE114A"/>
    <w:rsid w:val="00BE240F"/>
    <w:rsid w:val="00BE3061"/>
    <w:rsid w:val="00BF0A0A"/>
    <w:rsid w:val="00BF13F2"/>
    <w:rsid w:val="00BF183C"/>
    <w:rsid w:val="00BF1DC3"/>
    <w:rsid w:val="00BF1F9B"/>
    <w:rsid w:val="00C00D78"/>
    <w:rsid w:val="00C011D1"/>
    <w:rsid w:val="00C01572"/>
    <w:rsid w:val="00C01C04"/>
    <w:rsid w:val="00C02D9D"/>
    <w:rsid w:val="00C04F58"/>
    <w:rsid w:val="00C05FCF"/>
    <w:rsid w:val="00C0676D"/>
    <w:rsid w:val="00C07263"/>
    <w:rsid w:val="00C074AC"/>
    <w:rsid w:val="00C1112C"/>
    <w:rsid w:val="00C111C9"/>
    <w:rsid w:val="00C1392B"/>
    <w:rsid w:val="00C13C77"/>
    <w:rsid w:val="00C17640"/>
    <w:rsid w:val="00C214BD"/>
    <w:rsid w:val="00C21618"/>
    <w:rsid w:val="00C2320D"/>
    <w:rsid w:val="00C25AB9"/>
    <w:rsid w:val="00C2765F"/>
    <w:rsid w:val="00C320C4"/>
    <w:rsid w:val="00C33477"/>
    <w:rsid w:val="00C33737"/>
    <w:rsid w:val="00C33FA7"/>
    <w:rsid w:val="00C34000"/>
    <w:rsid w:val="00C34637"/>
    <w:rsid w:val="00C34E74"/>
    <w:rsid w:val="00C37404"/>
    <w:rsid w:val="00C43EC1"/>
    <w:rsid w:val="00C474FA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9DE"/>
    <w:rsid w:val="00C6747A"/>
    <w:rsid w:val="00C7032F"/>
    <w:rsid w:val="00C72C60"/>
    <w:rsid w:val="00C75FDE"/>
    <w:rsid w:val="00C77704"/>
    <w:rsid w:val="00C82E1F"/>
    <w:rsid w:val="00C87EB3"/>
    <w:rsid w:val="00C937FA"/>
    <w:rsid w:val="00C942CC"/>
    <w:rsid w:val="00C96ABC"/>
    <w:rsid w:val="00C96B14"/>
    <w:rsid w:val="00C97ACF"/>
    <w:rsid w:val="00CA0F8E"/>
    <w:rsid w:val="00CA12F0"/>
    <w:rsid w:val="00CA1F9B"/>
    <w:rsid w:val="00CA1FD6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AB5"/>
    <w:rsid w:val="00CB2C84"/>
    <w:rsid w:val="00CB3102"/>
    <w:rsid w:val="00CB682A"/>
    <w:rsid w:val="00CB6D83"/>
    <w:rsid w:val="00CB713E"/>
    <w:rsid w:val="00CC01D7"/>
    <w:rsid w:val="00CC2486"/>
    <w:rsid w:val="00CC277D"/>
    <w:rsid w:val="00CC5929"/>
    <w:rsid w:val="00CD1B23"/>
    <w:rsid w:val="00CD24C6"/>
    <w:rsid w:val="00CD3017"/>
    <w:rsid w:val="00CD427B"/>
    <w:rsid w:val="00CD4EA8"/>
    <w:rsid w:val="00CD7D46"/>
    <w:rsid w:val="00CE162E"/>
    <w:rsid w:val="00CE1EBD"/>
    <w:rsid w:val="00CE6239"/>
    <w:rsid w:val="00CE6EAB"/>
    <w:rsid w:val="00CF0475"/>
    <w:rsid w:val="00CF241D"/>
    <w:rsid w:val="00CF2742"/>
    <w:rsid w:val="00CF3363"/>
    <w:rsid w:val="00CF3FEB"/>
    <w:rsid w:val="00CF4B04"/>
    <w:rsid w:val="00CF580F"/>
    <w:rsid w:val="00CF6D35"/>
    <w:rsid w:val="00CF726A"/>
    <w:rsid w:val="00D000BD"/>
    <w:rsid w:val="00D01186"/>
    <w:rsid w:val="00D049EA"/>
    <w:rsid w:val="00D0682A"/>
    <w:rsid w:val="00D0793D"/>
    <w:rsid w:val="00D10532"/>
    <w:rsid w:val="00D10623"/>
    <w:rsid w:val="00D10C04"/>
    <w:rsid w:val="00D10D03"/>
    <w:rsid w:val="00D11167"/>
    <w:rsid w:val="00D11A69"/>
    <w:rsid w:val="00D12D71"/>
    <w:rsid w:val="00D1380A"/>
    <w:rsid w:val="00D16F78"/>
    <w:rsid w:val="00D203B5"/>
    <w:rsid w:val="00D22425"/>
    <w:rsid w:val="00D22F94"/>
    <w:rsid w:val="00D25964"/>
    <w:rsid w:val="00D275A9"/>
    <w:rsid w:val="00D308CB"/>
    <w:rsid w:val="00D32712"/>
    <w:rsid w:val="00D32C5F"/>
    <w:rsid w:val="00D34937"/>
    <w:rsid w:val="00D366C8"/>
    <w:rsid w:val="00D373E3"/>
    <w:rsid w:val="00D4066A"/>
    <w:rsid w:val="00D41530"/>
    <w:rsid w:val="00D41BE9"/>
    <w:rsid w:val="00D44100"/>
    <w:rsid w:val="00D465CA"/>
    <w:rsid w:val="00D47102"/>
    <w:rsid w:val="00D511A3"/>
    <w:rsid w:val="00D5126F"/>
    <w:rsid w:val="00D51454"/>
    <w:rsid w:val="00D523AF"/>
    <w:rsid w:val="00D574A4"/>
    <w:rsid w:val="00D610F1"/>
    <w:rsid w:val="00D6364F"/>
    <w:rsid w:val="00D668B3"/>
    <w:rsid w:val="00D679FF"/>
    <w:rsid w:val="00D70CC1"/>
    <w:rsid w:val="00D70FD5"/>
    <w:rsid w:val="00D771A3"/>
    <w:rsid w:val="00D8018D"/>
    <w:rsid w:val="00D80F1F"/>
    <w:rsid w:val="00D8152D"/>
    <w:rsid w:val="00D83762"/>
    <w:rsid w:val="00D84FA2"/>
    <w:rsid w:val="00D85D22"/>
    <w:rsid w:val="00D86277"/>
    <w:rsid w:val="00D86DDF"/>
    <w:rsid w:val="00D94448"/>
    <w:rsid w:val="00D94E15"/>
    <w:rsid w:val="00D975A2"/>
    <w:rsid w:val="00D97B6A"/>
    <w:rsid w:val="00DA0A28"/>
    <w:rsid w:val="00DA2ABB"/>
    <w:rsid w:val="00DA35BA"/>
    <w:rsid w:val="00DA4E25"/>
    <w:rsid w:val="00DA6BB7"/>
    <w:rsid w:val="00DA7B64"/>
    <w:rsid w:val="00DB06C1"/>
    <w:rsid w:val="00DB3310"/>
    <w:rsid w:val="00DB3320"/>
    <w:rsid w:val="00DB5EE1"/>
    <w:rsid w:val="00DB63D6"/>
    <w:rsid w:val="00DB6995"/>
    <w:rsid w:val="00DC1418"/>
    <w:rsid w:val="00DC2C1D"/>
    <w:rsid w:val="00DC2EA5"/>
    <w:rsid w:val="00DC3389"/>
    <w:rsid w:val="00DC389E"/>
    <w:rsid w:val="00DC69CF"/>
    <w:rsid w:val="00DC6BB6"/>
    <w:rsid w:val="00DD3CDB"/>
    <w:rsid w:val="00DD4ED2"/>
    <w:rsid w:val="00DD5F3C"/>
    <w:rsid w:val="00DD7899"/>
    <w:rsid w:val="00DD7997"/>
    <w:rsid w:val="00DD7B65"/>
    <w:rsid w:val="00DD7E98"/>
    <w:rsid w:val="00DE206E"/>
    <w:rsid w:val="00DE2ADA"/>
    <w:rsid w:val="00DE2F4A"/>
    <w:rsid w:val="00DE3A3B"/>
    <w:rsid w:val="00DF29E8"/>
    <w:rsid w:val="00DF4056"/>
    <w:rsid w:val="00DF4905"/>
    <w:rsid w:val="00DF4B51"/>
    <w:rsid w:val="00DF7D09"/>
    <w:rsid w:val="00DF7E63"/>
    <w:rsid w:val="00E012B0"/>
    <w:rsid w:val="00E0214B"/>
    <w:rsid w:val="00E04242"/>
    <w:rsid w:val="00E061DA"/>
    <w:rsid w:val="00E068DF"/>
    <w:rsid w:val="00E06B08"/>
    <w:rsid w:val="00E06E02"/>
    <w:rsid w:val="00E111FD"/>
    <w:rsid w:val="00E11E73"/>
    <w:rsid w:val="00E12C5C"/>
    <w:rsid w:val="00E167CC"/>
    <w:rsid w:val="00E177CB"/>
    <w:rsid w:val="00E222AD"/>
    <w:rsid w:val="00E22F5B"/>
    <w:rsid w:val="00E23017"/>
    <w:rsid w:val="00E23034"/>
    <w:rsid w:val="00E23143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41DA"/>
    <w:rsid w:val="00E54457"/>
    <w:rsid w:val="00E56FD1"/>
    <w:rsid w:val="00E62E97"/>
    <w:rsid w:val="00E637D6"/>
    <w:rsid w:val="00E6499F"/>
    <w:rsid w:val="00E65FF7"/>
    <w:rsid w:val="00E67438"/>
    <w:rsid w:val="00E67A67"/>
    <w:rsid w:val="00E73C06"/>
    <w:rsid w:val="00E766DC"/>
    <w:rsid w:val="00E8074C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999"/>
    <w:rsid w:val="00E97D2D"/>
    <w:rsid w:val="00EA24A0"/>
    <w:rsid w:val="00EA4258"/>
    <w:rsid w:val="00EB1B54"/>
    <w:rsid w:val="00EB20CE"/>
    <w:rsid w:val="00EB36DF"/>
    <w:rsid w:val="00EB6BF6"/>
    <w:rsid w:val="00EB7933"/>
    <w:rsid w:val="00EC0078"/>
    <w:rsid w:val="00EC3877"/>
    <w:rsid w:val="00EC5D75"/>
    <w:rsid w:val="00EC7FAB"/>
    <w:rsid w:val="00ED156C"/>
    <w:rsid w:val="00ED5137"/>
    <w:rsid w:val="00ED5DE9"/>
    <w:rsid w:val="00ED7B07"/>
    <w:rsid w:val="00ED7CDA"/>
    <w:rsid w:val="00ED7D48"/>
    <w:rsid w:val="00EE1216"/>
    <w:rsid w:val="00EE1C96"/>
    <w:rsid w:val="00EE4397"/>
    <w:rsid w:val="00EE58E3"/>
    <w:rsid w:val="00EE6835"/>
    <w:rsid w:val="00EE7418"/>
    <w:rsid w:val="00EF3320"/>
    <w:rsid w:val="00EF3ED3"/>
    <w:rsid w:val="00EF51D1"/>
    <w:rsid w:val="00EF5ADF"/>
    <w:rsid w:val="00EF7DEB"/>
    <w:rsid w:val="00EF7FD5"/>
    <w:rsid w:val="00F0314C"/>
    <w:rsid w:val="00F06F95"/>
    <w:rsid w:val="00F079D1"/>
    <w:rsid w:val="00F106E4"/>
    <w:rsid w:val="00F10A77"/>
    <w:rsid w:val="00F10AFD"/>
    <w:rsid w:val="00F10C08"/>
    <w:rsid w:val="00F111FC"/>
    <w:rsid w:val="00F11871"/>
    <w:rsid w:val="00F13644"/>
    <w:rsid w:val="00F1375A"/>
    <w:rsid w:val="00F15164"/>
    <w:rsid w:val="00F20BC7"/>
    <w:rsid w:val="00F20E52"/>
    <w:rsid w:val="00F21C04"/>
    <w:rsid w:val="00F2414E"/>
    <w:rsid w:val="00F24657"/>
    <w:rsid w:val="00F25BA2"/>
    <w:rsid w:val="00F26F3A"/>
    <w:rsid w:val="00F31D85"/>
    <w:rsid w:val="00F34E33"/>
    <w:rsid w:val="00F365CC"/>
    <w:rsid w:val="00F36913"/>
    <w:rsid w:val="00F405DA"/>
    <w:rsid w:val="00F40628"/>
    <w:rsid w:val="00F41177"/>
    <w:rsid w:val="00F431D8"/>
    <w:rsid w:val="00F4395A"/>
    <w:rsid w:val="00F458A6"/>
    <w:rsid w:val="00F45A00"/>
    <w:rsid w:val="00F4727E"/>
    <w:rsid w:val="00F5247B"/>
    <w:rsid w:val="00F54220"/>
    <w:rsid w:val="00F5501D"/>
    <w:rsid w:val="00F57180"/>
    <w:rsid w:val="00F61A38"/>
    <w:rsid w:val="00F639FE"/>
    <w:rsid w:val="00F63A94"/>
    <w:rsid w:val="00F64E15"/>
    <w:rsid w:val="00F677FD"/>
    <w:rsid w:val="00F71544"/>
    <w:rsid w:val="00F719FD"/>
    <w:rsid w:val="00F71C89"/>
    <w:rsid w:val="00F738CE"/>
    <w:rsid w:val="00F73970"/>
    <w:rsid w:val="00F741AC"/>
    <w:rsid w:val="00F7477E"/>
    <w:rsid w:val="00F777B4"/>
    <w:rsid w:val="00F778F7"/>
    <w:rsid w:val="00F804C6"/>
    <w:rsid w:val="00F809AA"/>
    <w:rsid w:val="00F80A10"/>
    <w:rsid w:val="00F81793"/>
    <w:rsid w:val="00F85849"/>
    <w:rsid w:val="00F86336"/>
    <w:rsid w:val="00F86387"/>
    <w:rsid w:val="00F873FD"/>
    <w:rsid w:val="00F9115B"/>
    <w:rsid w:val="00F91190"/>
    <w:rsid w:val="00F926F3"/>
    <w:rsid w:val="00F93775"/>
    <w:rsid w:val="00F95508"/>
    <w:rsid w:val="00F961C7"/>
    <w:rsid w:val="00F9760C"/>
    <w:rsid w:val="00FA0E99"/>
    <w:rsid w:val="00FA4324"/>
    <w:rsid w:val="00FA60A6"/>
    <w:rsid w:val="00FA60BF"/>
    <w:rsid w:val="00FA736C"/>
    <w:rsid w:val="00FA7855"/>
    <w:rsid w:val="00FB1128"/>
    <w:rsid w:val="00FB15BD"/>
    <w:rsid w:val="00FB4FB8"/>
    <w:rsid w:val="00FB7E3C"/>
    <w:rsid w:val="00FC0B63"/>
    <w:rsid w:val="00FC12D3"/>
    <w:rsid w:val="00FC1749"/>
    <w:rsid w:val="00FC2CAA"/>
    <w:rsid w:val="00FC7A10"/>
    <w:rsid w:val="00FD0528"/>
    <w:rsid w:val="00FD12E9"/>
    <w:rsid w:val="00FD1714"/>
    <w:rsid w:val="00FD1E49"/>
    <w:rsid w:val="00FD2112"/>
    <w:rsid w:val="00FD2C31"/>
    <w:rsid w:val="00FD4793"/>
    <w:rsid w:val="00FE40E5"/>
    <w:rsid w:val="00FE5171"/>
    <w:rsid w:val="00FE6016"/>
    <w:rsid w:val="00FE665C"/>
    <w:rsid w:val="00FF0268"/>
    <w:rsid w:val="00FF11A7"/>
    <w:rsid w:val="00FF3D4F"/>
    <w:rsid w:val="00FF3EF5"/>
    <w:rsid w:val="00FF6926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CA7075-9AE3-4F94-830C-E0FD3A66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B14D47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B14D47"/>
    <w:pPr>
      <w:keepNext/>
      <w:keepLines/>
      <w:pageBreakBefore/>
      <w:numPr>
        <w:numId w:val="4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3"/>
    <w:next w:val="a3"/>
    <w:link w:val="20"/>
    <w:qFormat/>
    <w:rsid w:val="00B14D47"/>
    <w:pPr>
      <w:keepNext/>
      <w:numPr>
        <w:ilvl w:val="1"/>
        <w:numId w:val="4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6E4A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5">
    <w:name w:val="heading 5"/>
    <w:basedOn w:val="a3"/>
    <w:next w:val="a3"/>
    <w:link w:val="50"/>
    <w:qFormat/>
    <w:rsid w:val="006E4AF9"/>
    <w:pPr>
      <w:keepNext/>
      <w:numPr>
        <w:ilvl w:val="4"/>
        <w:numId w:val="5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rFonts w:ascii="Times New Roman" w:hAnsi="Times New Roman"/>
      <w:b/>
      <w:snapToGrid w:val="0"/>
      <w:sz w:val="26"/>
      <w:szCs w:val="20"/>
    </w:rPr>
  </w:style>
  <w:style w:type="paragraph" w:styleId="6">
    <w:name w:val="heading 6"/>
    <w:basedOn w:val="a3"/>
    <w:next w:val="a3"/>
    <w:link w:val="60"/>
    <w:qFormat/>
    <w:rsid w:val="006E4AF9"/>
    <w:pPr>
      <w:widowControl w:val="0"/>
      <w:numPr>
        <w:ilvl w:val="5"/>
        <w:numId w:val="5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hAnsi="Times New Roman"/>
      <w:b/>
      <w:snapToGrid w:val="0"/>
      <w:sz w:val="22"/>
      <w:szCs w:val="20"/>
    </w:rPr>
  </w:style>
  <w:style w:type="paragraph" w:styleId="7">
    <w:name w:val="heading 7"/>
    <w:basedOn w:val="a3"/>
    <w:next w:val="a3"/>
    <w:link w:val="70"/>
    <w:qFormat/>
    <w:rsid w:val="006E4AF9"/>
    <w:pPr>
      <w:widowControl w:val="0"/>
      <w:numPr>
        <w:ilvl w:val="6"/>
        <w:numId w:val="5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hAnsi="Times New Roman"/>
      <w:snapToGrid w:val="0"/>
      <w:sz w:val="26"/>
      <w:szCs w:val="20"/>
    </w:rPr>
  </w:style>
  <w:style w:type="paragraph" w:styleId="8">
    <w:name w:val="heading 8"/>
    <w:basedOn w:val="a3"/>
    <w:next w:val="a3"/>
    <w:link w:val="80"/>
    <w:qFormat/>
    <w:rsid w:val="006E4AF9"/>
    <w:pPr>
      <w:widowControl w:val="0"/>
      <w:numPr>
        <w:ilvl w:val="7"/>
        <w:numId w:val="5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hAnsi="Times New Roman"/>
      <w:i/>
      <w:snapToGrid w:val="0"/>
      <w:sz w:val="26"/>
      <w:szCs w:val="20"/>
    </w:rPr>
  </w:style>
  <w:style w:type="paragraph" w:styleId="9">
    <w:name w:val="heading 9"/>
    <w:basedOn w:val="a3"/>
    <w:next w:val="a3"/>
    <w:link w:val="90"/>
    <w:qFormat/>
    <w:rsid w:val="006E4AF9"/>
    <w:pPr>
      <w:widowControl w:val="0"/>
      <w:numPr>
        <w:ilvl w:val="8"/>
        <w:numId w:val="5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  <w:szCs w:val="20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uiPriority w:val="9"/>
    <w:rsid w:val="00B14D47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4"/>
    <w:link w:val="2"/>
    <w:rsid w:val="00B14D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List Paragraph"/>
    <w:basedOn w:val="a3"/>
    <w:uiPriority w:val="34"/>
    <w:qFormat/>
    <w:rsid w:val="00B14D47"/>
    <w:pPr>
      <w:spacing w:after="200"/>
      <w:ind w:left="720" w:firstLine="360"/>
      <w:contextualSpacing/>
      <w:jc w:val="both"/>
    </w:pPr>
    <w:rPr>
      <w:lang w:eastAsia="en-US"/>
    </w:rPr>
  </w:style>
  <w:style w:type="paragraph" w:styleId="a8">
    <w:name w:val="footnote text"/>
    <w:basedOn w:val="a3"/>
    <w:link w:val="a9"/>
    <w:rsid w:val="00B14D47"/>
    <w:rPr>
      <w:szCs w:val="20"/>
    </w:rPr>
  </w:style>
  <w:style w:type="character" w:customStyle="1" w:styleId="a9">
    <w:name w:val="Текст сноски Знак"/>
    <w:basedOn w:val="a4"/>
    <w:link w:val="a8"/>
    <w:rsid w:val="00B14D47"/>
    <w:rPr>
      <w:rFonts w:ascii="Tahoma" w:eastAsia="Times New Roman" w:hAnsi="Tahoma" w:cs="Times New Roman"/>
      <w:sz w:val="20"/>
      <w:szCs w:val="20"/>
      <w:lang w:eastAsia="ru-RU"/>
    </w:rPr>
  </w:style>
  <w:style w:type="character" w:styleId="aa">
    <w:name w:val="footnote reference"/>
    <w:rsid w:val="00B14D47"/>
    <w:rPr>
      <w:vertAlign w:val="superscript"/>
    </w:rPr>
  </w:style>
  <w:style w:type="paragraph" w:customStyle="1" w:styleId="a0">
    <w:name w:val="Пункт"/>
    <w:basedOn w:val="a3"/>
    <w:link w:val="11"/>
    <w:rsid w:val="00B14D47"/>
    <w:pPr>
      <w:numPr>
        <w:ilvl w:val="2"/>
        <w:numId w:val="4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1">
    <w:name w:val="Подпункт"/>
    <w:basedOn w:val="a0"/>
    <w:link w:val="12"/>
    <w:rsid w:val="00B14D47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B14D47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0"/>
    <w:rsid w:val="00B14D47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b">
    <w:name w:val="footer"/>
    <w:basedOn w:val="a3"/>
    <w:link w:val="ac"/>
    <w:uiPriority w:val="99"/>
    <w:unhideWhenUsed/>
    <w:rsid w:val="00B14D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4"/>
    <w:link w:val="ab"/>
    <w:uiPriority w:val="99"/>
    <w:rsid w:val="00B14D47"/>
    <w:rPr>
      <w:rFonts w:ascii="Tahoma" w:eastAsia="Times New Roman" w:hAnsi="Tahoma" w:cs="Times New Roman"/>
      <w:sz w:val="20"/>
      <w:szCs w:val="24"/>
      <w:lang w:eastAsia="ru-RU"/>
    </w:rPr>
  </w:style>
  <w:style w:type="paragraph" w:styleId="ad">
    <w:name w:val="header"/>
    <w:basedOn w:val="a3"/>
    <w:link w:val="ae"/>
    <w:uiPriority w:val="99"/>
    <w:unhideWhenUsed/>
    <w:rsid w:val="00FC7A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4"/>
    <w:link w:val="ad"/>
    <w:uiPriority w:val="99"/>
    <w:rsid w:val="00FC7A10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6E4AF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4"/>
    <w:link w:val="5"/>
    <w:rsid w:val="006E4AF9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6E4AF9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6E4AF9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6E4AF9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E4AF9"/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12">
    <w:name w:val="Подпункт Знак1"/>
    <w:basedOn w:val="11"/>
    <w:link w:val="a1"/>
    <w:rsid w:val="00175B85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">
    <w:name w:val="маркированный"/>
    <w:basedOn w:val="a3"/>
    <w:semiHidden/>
    <w:rsid w:val="008F1374"/>
    <w:pPr>
      <w:numPr>
        <w:numId w:val="7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6</cp:revision>
  <dcterms:created xsi:type="dcterms:W3CDTF">2019-09-02T04:56:00Z</dcterms:created>
  <dcterms:modified xsi:type="dcterms:W3CDTF">2019-09-26T11:06:00Z</dcterms:modified>
</cp:coreProperties>
</file>